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68B5" w14:textId="3DB7944F" w:rsidR="002F4395" w:rsidRDefault="009C0F40" w:rsidP="002F4395">
      <w:pP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75646018" wp14:editId="1BB645DB">
            <wp:simplePos x="0" y="0"/>
            <wp:positionH relativeFrom="column">
              <wp:posOffset>-399883</wp:posOffset>
            </wp:positionH>
            <wp:positionV relativeFrom="paragraph">
              <wp:posOffset>-136111</wp:posOffset>
            </wp:positionV>
            <wp:extent cx="1325741" cy="503996"/>
            <wp:effectExtent l="0" t="0" r="8255" b="0"/>
            <wp:wrapNone/>
            <wp:docPr id="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A close up of a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741" cy="503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3EF672BC" wp14:editId="0F9C7A2E">
            <wp:simplePos x="0" y="0"/>
            <wp:positionH relativeFrom="page">
              <wp:posOffset>3186113</wp:posOffset>
            </wp:positionH>
            <wp:positionV relativeFrom="page">
              <wp:posOffset>791709</wp:posOffset>
            </wp:positionV>
            <wp:extent cx="704850" cy="360816"/>
            <wp:effectExtent l="0" t="0" r="0" b="0"/>
            <wp:wrapNone/>
            <wp:docPr id="1035" name="image8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picture containing drawing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60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0288" behindDoc="0" locked="0" layoutInCell="1" hidden="0" allowOverlap="1" wp14:anchorId="0107EF10" wp14:editId="286ADCB4">
            <wp:simplePos x="0" y="0"/>
            <wp:positionH relativeFrom="column">
              <wp:posOffset>1517780</wp:posOffset>
            </wp:positionH>
            <wp:positionV relativeFrom="paragraph">
              <wp:posOffset>-628260</wp:posOffset>
            </wp:positionV>
            <wp:extent cx="1013571" cy="244389"/>
            <wp:effectExtent l="0" t="0" r="0" b="0"/>
            <wp:wrapNone/>
            <wp:docPr id="1046" name="image10.jp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close 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571" cy="244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1312" behindDoc="0" locked="0" layoutInCell="1" hidden="0" allowOverlap="1" wp14:anchorId="26A1BF75" wp14:editId="263AB739">
            <wp:simplePos x="0" y="0"/>
            <wp:positionH relativeFrom="column">
              <wp:posOffset>3205662</wp:posOffset>
            </wp:positionH>
            <wp:positionV relativeFrom="paragraph">
              <wp:posOffset>-655319</wp:posOffset>
            </wp:positionV>
            <wp:extent cx="925452" cy="298580"/>
            <wp:effectExtent l="0" t="0" r="0" b="0"/>
            <wp:wrapNone/>
            <wp:docPr id="1043" name="image6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 up of a sig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452" cy="29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3360" behindDoc="0" locked="0" layoutInCell="1" hidden="0" allowOverlap="1" wp14:anchorId="1956C823" wp14:editId="46C15D16">
            <wp:simplePos x="0" y="0"/>
            <wp:positionH relativeFrom="column">
              <wp:posOffset>1156348</wp:posOffset>
            </wp:positionH>
            <wp:positionV relativeFrom="paragraph">
              <wp:posOffset>-203677</wp:posOffset>
            </wp:positionV>
            <wp:extent cx="473982" cy="523875"/>
            <wp:effectExtent l="0" t="0" r="0" b="0"/>
            <wp:wrapNone/>
            <wp:docPr id="1041" name="image2.jp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close up of a 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82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4384" behindDoc="0" locked="0" layoutInCell="1" hidden="0" allowOverlap="1" wp14:anchorId="4C5DF84C" wp14:editId="4C0B4C9B">
            <wp:simplePos x="0" y="0"/>
            <wp:positionH relativeFrom="column">
              <wp:posOffset>3469005</wp:posOffset>
            </wp:positionH>
            <wp:positionV relativeFrom="paragraph">
              <wp:posOffset>-236219</wp:posOffset>
            </wp:positionV>
            <wp:extent cx="708025" cy="605790"/>
            <wp:effectExtent l="0" t="0" r="0" b="0"/>
            <wp:wrapNone/>
            <wp:docPr id="1040" name="image3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diagram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5408" behindDoc="0" locked="0" layoutInCell="1" hidden="0" allowOverlap="1" wp14:anchorId="6886BDB5" wp14:editId="1428BC12">
            <wp:simplePos x="0" y="0"/>
            <wp:positionH relativeFrom="column">
              <wp:posOffset>4708797</wp:posOffset>
            </wp:positionH>
            <wp:positionV relativeFrom="paragraph">
              <wp:posOffset>-653401</wp:posOffset>
            </wp:positionV>
            <wp:extent cx="1069910" cy="281166"/>
            <wp:effectExtent l="0" t="0" r="0" b="0"/>
            <wp:wrapNone/>
            <wp:docPr id="1039" name="image4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ext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10" cy="28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6432" behindDoc="0" locked="0" layoutInCell="1" hidden="0" allowOverlap="1" wp14:anchorId="79C3C6EB" wp14:editId="66B3110B">
            <wp:simplePos x="0" y="0"/>
            <wp:positionH relativeFrom="column">
              <wp:posOffset>4751070</wp:posOffset>
            </wp:positionH>
            <wp:positionV relativeFrom="paragraph">
              <wp:posOffset>-233679</wp:posOffset>
            </wp:positionV>
            <wp:extent cx="974090" cy="527050"/>
            <wp:effectExtent l="0" t="0" r="0" b="0"/>
            <wp:wrapNone/>
            <wp:docPr id="1038" name="image5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5.png" descr="Logo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4395">
        <w:rPr>
          <w:noProof/>
        </w:rPr>
        <w:drawing>
          <wp:anchor distT="0" distB="0" distL="114300" distR="114300" simplePos="0" relativeHeight="251667456" behindDoc="0" locked="0" layoutInCell="1" hidden="0" allowOverlap="1" wp14:anchorId="7EA1AD95" wp14:editId="1B8D1E20">
            <wp:simplePos x="0" y="0"/>
            <wp:positionH relativeFrom="column">
              <wp:posOffset>31103</wp:posOffset>
            </wp:positionH>
            <wp:positionV relativeFrom="paragraph">
              <wp:posOffset>-628260</wp:posOffset>
            </wp:positionV>
            <wp:extent cx="797366" cy="275400"/>
            <wp:effectExtent l="0" t="0" r="0" b="0"/>
            <wp:wrapNone/>
            <wp:docPr id="1045" name="image7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A picture containing text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366" cy="27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2AE08A" w14:textId="77777777" w:rsidR="002F4395" w:rsidRDefault="002F4395" w:rsidP="002F43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0FC961CF" wp14:editId="3BB9EDCF">
            <wp:simplePos x="0" y="0"/>
            <wp:positionH relativeFrom="column">
              <wp:posOffset>923925</wp:posOffset>
            </wp:positionH>
            <wp:positionV relativeFrom="paragraph">
              <wp:posOffset>284832</wp:posOffset>
            </wp:positionV>
            <wp:extent cx="1009650" cy="371475"/>
            <wp:effectExtent l="0" t="0" r="0" b="0"/>
            <wp:wrapSquare wrapText="bothSides" distT="114300" distB="114300" distL="114300" distR="114300"/>
            <wp:docPr id="1036" name="image11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1.png" descr="Text&#10;&#10;Description automatically generated with medium confidenc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66E4ED19" wp14:editId="7768BC2F">
            <wp:simplePos x="0" y="0"/>
            <wp:positionH relativeFrom="column">
              <wp:posOffset>2614613</wp:posOffset>
            </wp:positionH>
            <wp:positionV relativeFrom="paragraph">
              <wp:posOffset>237207</wp:posOffset>
            </wp:positionV>
            <wp:extent cx="1595438" cy="479928"/>
            <wp:effectExtent l="0" t="0" r="0" b="0"/>
            <wp:wrapNone/>
            <wp:docPr id="1037" name="image12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2.png" descr="Graphical user interface, text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479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4E07A" w14:textId="77777777" w:rsidR="002F4395" w:rsidRDefault="002F4395" w:rsidP="002F43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08084AB1" wp14:editId="41262644">
            <wp:simplePos x="0" y="0"/>
            <wp:positionH relativeFrom="column">
              <wp:posOffset>4829175</wp:posOffset>
            </wp:positionH>
            <wp:positionV relativeFrom="paragraph">
              <wp:posOffset>78036</wp:posOffset>
            </wp:positionV>
            <wp:extent cx="681990" cy="385445"/>
            <wp:effectExtent l="0" t="0" r="0" b="0"/>
            <wp:wrapNone/>
            <wp:docPr id="1044" name="image1.png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8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549A0F" w14:textId="77777777" w:rsidR="002F4395" w:rsidRDefault="002F4395" w:rsidP="002F43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</w:p>
    <w:p w14:paraId="55A72776" w14:textId="77777777" w:rsidR="002F4395" w:rsidRDefault="002F4395" w:rsidP="002F43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</w:p>
    <w:p w14:paraId="08A1B702" w14:textId="4A564655" w:rsidR="002F4395" w:rsidRPr="00A079EC" w:rsidRDefault="002F4395" w:rsidP="002F43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  <w:lang w:val="es-ES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A079EC">
        <w:rPr>
          <w:rFonts w:ascii="Calibri" w:eastAsia="Calibri" w:hAnsi="Calibri" w:cs="Calibri"/>
          <w:color w:val="000000"/>
          <w:sz w:val="22"/>
          <w:szCs w:val="22"/>
          <w:lang w:val="es-ES"/>
        </w:rPr>
        <w:t>Julio 21, 2021</w:t>
      </w:r>
    </w:p>
    <w:p w14:paraId="5C94C8B8" w14:textId="77777777" w:rsidR="00021640" w:rsidRPr="00021640" w:rsidRDefault="00021640" w:rsidP="002F4395">
      <w:pPr>
        <w:jc w:val="both"/>
        <w:rPr>
          <w:lang w:val="es-ES"/>
        </w:rPr>
      </w:pPr>
    </w:p>
    <w:p w14:paraId="52E52A7C" w14:textId="77777777" w:rsidR="00021640" w:rsidRPr="00021640" w:rsidRDefault="00021640" w:rsidP="002F4395">
      <w:pPr>
        <w:jc w:val="both"/>
        <w:rPr>
          <w:lang w:val="es-ES"/>
        </w:rPr>
      </w:pPr>
    </w:p>
    <w:p w14:paraId="3C9BC99D" w14:textId="3BEEEE51" w:rsidR="00021640" w:rsidRPr="002F4395" w:rsidRDefault="00021640" w:rsidP="002F4395">
      <w:pPr>
        <w:jc w:val="center"/>
        <w:rPr>
          <w:b/>
          <w:bCs/>
          <w:lang w:val="es-ES"/>
        </w:rPr>
      </w:pPr>
      <w:r w:rsidRPr="002F4395">
        <w:rPr>
          <w:b/>
          <w:bCs/>
          <w:lang w:val="es-ES"/>
        </w:rPr>
        <w:t>Llamado a la acción</w:t>
      </w:r>
    </w:p>
    <w:p w14:paraId="6CCB8605" w14:textId="0D15F992" w:rsidR="00021640" w:rsidRPr="002F4395" w:rsidRDefault="00021640" w:rsidP="002F4395">
      <w:pPr>
        <w:jc w:val="center"/>
        <w:rPr>
          <w:b/>
          <w:bCs/>
          <w:lang w:val="es-ES"/>
        </w:rPr>
      </w:pPr>
      <w:r w:rsidRPr="002F4395">
        <w:rPr>
          <w:b/>
          <w:bCs/>
          <w:lang w:val="es-ES"/>
        </w:rPr>
        <w:t>Para proteger el derecho a la vida familiar y prevenir la institucionalización de todas las niñas</w:t>
      </w:r>
      <w:r w:rsidR="002F4395">
        <w:rPr>
          <w:b/>
          <w:bCs/>
          <w:lang w:val="es-ES"/>
        </w:rPr>
        <w:t xml:space="preserve">, </w:t>
      </w:r>
      <w:r w:rsidRPr="002F4395">
        <w:rPr>
          <w:b/>
          <w:bCs/>
          <w:lang w:val="es-ES"/>
        </w:rPr>
        <w:t>niños y adolescentes</w:t>
      </w:r>
      <w:bookmarkStart w:id="0" w:name="_GoBack"/>
      <w:bookmarkEnd w:id="0"/>
    </w:p>
    <w:p w14:paraId="56E16AF2" w14:textId="77777777" w:rsidR="00021640" w:rsidRPr="00021640" w:rsidRDefault="00021640" w:rsidP="002F4395">
      <w:pPr>
        <w:jc w:val="both"/>
        <w:rPr>
          <w:lang w:val="es-ES"/>
        </w:rPr>
      </w:pPr>
    </w:p>
    <w:p w14:paraId="20D0ACF1" w14:textId="77777777" w:rsidR="00021640" w:rsidRPr="00021640" w:rsidRDefault="00021640" w:rsidP="002F4395">
      <w:pPr>
        <w:jc w:val="both"/>
        <w:rPr>
          <w:lang w:val="es-ES"/>
        </w:rPr>
      </w:pPr>
    </w:p>
    <w:p w14:paraId="00876A07" w14:textId="4816BFAF" w:rsidR="00021640" w:rsidRPr="00021640" w:rsidRDefault="00021640" w:rsidP="002F4395">
      <w:pPr>
        <w:jc w:val="both"/>
        <w:rPr>
          <w:lang w:val="es-ES"/>
        </w:rPr>
      </w:pPr>
      <w:r w:rsidRPr="00021640">
        <w:rPr>
          <w:lang w:val="es-ES"/>
        </w:rPr>
        <w:t xml:space="preserve">Las </w:t>
      </w:r>
      <w:r w:rsidR="002F4395">
        <w:rPr>
          <w:lang w:val="es-ES"/>
        </w:rPr>
        <w:t>organizaciones firmantes</w:t>
      </w:r>
      <w:r w:rsidRPr="00021640">
        <w:rPr>
          <w:lang w:val="es-ES"/>
        </w:rPr>
        <w:t xml:space="preserve"> de este llamado a la acción reconocen el liderazgo del Comité de los Derechos del Niño y </w:t>
      </w:r>
      <w:r w:rsidR="00A079EC">
        <w:rPr>
          <w:lang w:val="es-ES"/>
        </w:rPr>
        <w:t>d</w:t>
      </w:r>
      <w:r w:rsidRPr="00021640">
        <w:rPr>
          <w:lang w:val="es-ES"/>
        </w:rPr>
        <w:t>el Comité de los Derechos de las Personas con Discapacidad de Naciones Unidas en sus esfuerzos por armonizar los estándares internacionales de derechos humanos relacionados con las y los niños privados del cuidado parental.</w:t>
      </w:r>
    </w:p>
    <w:p w14:paraId="1D1992E0" w14:textId="77777777" w:rsidR="00021640" w:rsidRPr="00021640" w:rsidRDefault="00021640" w:rsidP="002F4395">
      <w:pPr>
        <w:jc w:val="both"/>
        <w:rPr>
          <w:lang w:val="es-ES"/>
        </w:rPr>
      </w:pPr>
    </w:p>
    <w:p w14:paraId="65FB452A" w14:textId="12124C52" w:rsidR="00021640" w:rsidRPr="00021640" w:rsidRDefault="00021640" w:rsidP="002F4395">
      <w:pPr>
        <w:jc w:val="both"/>
        <w:rPr>
          <w:lang w:val="es-ES"/>
        </w:rPr>
      </w:pPr>
      <w:r w:rsidRPr="00021640">
        <w:rPr>
          <w:lang w:val="es-ES"/>
        </w:rPr>
        <w:t xml:space="preserve">Este llamado busca contribuir a una serie de esfuerzos en todo el mundo para promover </w:t>
      </w:r>
      <w:r w:rsidR="002F4395">
        <w:rPr>
          <w:lang w:val="es-ES"/>
        </w:rPr>
        <w:t>una</w:t>
      </w:r>
      <w:r w:rsidRPr="00021640">
        <w:rPr>
          <w:lang w:val="es-ES"/>
        </w:rPr>
        <w:t xml:space="preserve"> interpretación coherente y la aplicación del derecho internacional de los derechos humanos con respecto a las niñas, niños y adolescentes con discapacidad, incluidas las actividades de los comités mencionados y otras partes interesadas y, en particular, los preparativos para un día de debate general sobre los derechos del niño y los cuidados alternativos programado</w:t>
      </w:r>
      <w:r w:rsidR="00A079EC">
        <w:rPr>
          <w:lang w:val="es-ES"/>
        </w:rPr>
        <w:t xml:space="preserve"> y organizado por el</w:t>
      </w:r>
      <w:r w:rsidR="00A079EC" w:rsidRPr="00021640">
        <w:rPr>
          <w:lang w:val="es-ES"/>
        </w:rPr>
        <w:t xml:space="preserve"> Comité de los Derechos del Niño</w:t>
      </w:r>
      <w:r w:rsidRPr="00021640">
        <w:rPr>
          <w:lang w:val="es-ES"/>
        </w:rPr>
        <w:t xml:space="preserve"> para septiembre de 2021</w:t>
      </w:r>
      <w:r w:rsidR="00A079EC">
        <w:rPr>
          <w:lang w:val="es-ES"/>
        </w:rPr>
        <w:t>.</w:t>
      </w:r>
      <w:r w:rsidRPr="00021640">
        <w:rPr>
          <w:lang w:val="es-ES"/>
        </w:rPr>
        <w:t xml:space="preserve"> </w:t>
      </w:r>
    </w:p>
    <w:p w14:paraId="7399460E" w14:textId="77777777" w:rsidR="00021640" w:rsidRPr="00021640" w:rsidRDefault="00021640" w:rsidP="002F4395">
      <w:pPr>
        <w:jc w:val="both"/>
        <w:rPr>
          <w:lang w:val="es-ES"/>
        </w:rPr>
      </w:pPr>
    </w:p>
    <w:p w14:paraId="5A217EAC" w14:textId="77777777" w:rsidR="00021640" w:rsidRPr="00021640" w:rsidRDefault="00021640" w:rsidP="002F4395">
      <w:pPr>
        <w:jc w:val="both"/>
        <w:rPr>
          <w:b/>
          <w:bCs/>
          <w:lang w:val="es-ES"/>
        </w:rPr>
      </w:pPr>
      <w:r w:rsidRPr="00021640">
        <w:rPr>
          <w:b/>
          <w:bCs/>
          <w:lang w:val="es-ES"/>
        </w:rPr>
        <w:t>Lo que sabemos hoy:</w:t>
      </w:r>
    </w:p>
    <w:p w14:paraId="5205626D" w14:textId="77777777" w:rsidR="00021640" w:rsidRPr="00021640" w:rsidRDefault="00021640" w:rsidP="002F4395">
      <w:pPr>
        <w:jc w:val="both"/>
        <w:rPr>
          <w:lang w:val="es-ES"/>
        </w:rPr>
      </w:pPr>
    </w:p>
    <w:p w14:paraId="00ADBF6B" w14:textId="77777777" w:rsidR="00082663" w:rsidRDefault="00021640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Todos los niños necesitan familias:</w:t>
      </w:r>
      <w:r w:rsidRPr="00082663">
        <w:rPr>
          <w:lang w:val="es-ES"/>
        </w:rPr>
        <w:t xml:space="preserve"> un creciente numero de investigaciones científicas muestra que todas las niñas, niños y adolescentes necesitan familias para su sano desarrollo emocional, cognitivo y físico. En una revisión exhaustiva de la literatura científica disponible en la matera, investigadores sobre bienestar infantil concluyeron en un consenso internacional que “las residencias grupales no deben usarse como vivienda, debido a sus efectos inherentemente perjudiciales </w:t>
      </w:r>
      <w:r w:rsidR="00082663">
        <w:rPr>
          <w:lang w:val="es-ES"/>
        </w:rPr>
        <w:t xml:space="preserve">en </w:t>
      </w:r>
      <w:r w:rsidRPr="00082663">
        <w:rPr>
          <w:lang w:val="es-ES"/>
        </w:rPr>
        <w:t xml:space="preserve">el desarrollo </w:t>
      </w:r>
      <w:r w:rsidR="00082663">
        <w:rPr>
          <w:lang w:val="es-ES"/>
        </w:rPr>
        <w:t>d</w:t>
      </w:r>
      <w:r w:rsidRPr="00082663">
        <w:rPr>
          <w:lang w:val="es-ES"/>
        </w:rPr>
        <w:t>e las niñas, niños y adolescentes, independientemente de su edad.”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</w:p>
    <w:p w14:paraId="2369AB02" w14:textId="77777777" w:rsidR="00082663" w:rsidRDefault="00021640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Actualmente existe evidencia que muestra que todas las niñas, niños y adolescentes pueden vivir de manera segura y prosperar en familias</w:t>
      </w:r>
      <w:r w:rsidRPr="00082663">
        <w:rPr>
          <w:lang w:val="es-ES"/>
        </w:rPr>
        <w:t xml:space="preserve">; </w:t>
      </w:r>
      <w:r w:rsidR="002B689E" w:rsidRPr="00082663">
        <w:rPr>
          <w:lang w:val="es-ES"/>
        </w:rPr>
        <w:t>todas las niñas, niños y adolescentes</w:t>
      </w:r>
      <w:r w:rsidRPr="00082663">
        <w:rPr>
          <w:lang w:val="es-ES"/>
        </w:rPr>
        <w:t xml:space="preserve"> con discapacidad, independientemente de sus necesidades, pueden y deben recibir apoyo para vivir en familias.</w:t>
      </w:r>
    </w:p>
    <w:p w14:paraId="2F63D59E" w14:textId="529088F4" w:rsidR="00082663" w:rsidRDefault="00021640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 xml:space="preserve">La mayoría de </w:t>
      </w:r>
      <w:r w:rsidR="002B689E" w:rsidRPr="00082663">
        <w:rPr>
          <w:b/>
          <w:bCs/>
          <w:lang w:val="es-ES"/>
        </w:rPr>
        <w:t xml:space="preserve">las niñas, niños y adolescentes </w:t>
      </w:r>
      <w:r w:rsidRPr="00082663">
        <w:rPr>
          <w:b/>
          <w:bCs/>
          <w:lang w:val="es-ES"/>
        </w:rPr>
        <w:t>tienen familias</w:t>
      </w:r>
      <w:r w:rsidRPr="00082663">
        <w:rPr>
          <w:lang w:val="es-ES"/>
        </w:rPr>
        <w:t xml:space="preserve"> y son colocados en instituciones </w:t>
      </w:r>
      <w:r w:rsidR="002B689E" w:rsidRPr="00082663">
        <w:rPr>
          <w:lang w:val="es-ES"/>
        </w:rPr>
        <w:t xml:space="preserve">por razones de </w:t>
      </w:r>
      <w:r w:rsidRPr="00082663">
        <w:rPr>
          <w:lang w:val="es-ES"/>
        </w:rPr>
        <w:t>pobreza</w:t>
      </w:r>
      <w:r w:rsidR="002B689E" w:rsidRPr="00082663">
        <w:rPr>
          <w:lang w:val="es-ES"/>
        </w:rPr>
        <w:t xml:space="preserve">, </w:t>
      </w:r>
      <w:r w:rsidRPr="00082663">
        <w:rPr>
          <w:lang w:val="es-ES"/>
        </w:rPr>
        <w:t xml:space="preserve">discapacidad y </w:t>
      </w:r>
      <w:r w:rsidR="002B689E" w:rsidRPr="00082663">
        <w:rPr>
          <w:lang w:val="es-ES"/>
        </w:rPr>
        <w:t>a</w:t>
      </w:r>
      <w:r w:rsidRPr="00082663">
        <w:rPr>
          <w:lang w:val="es-ES"/>
        </w:rPr>
        <w:t xml:space="preserve">l estigma asociado con la </w:t>
      </w:r>
      <w:r w:rsidRPr="00082663">
        <w:rPr>
          <w:lang w:val="es-ES"/>
        </w:rPr>
        <w:lastRenderedPageBreak/>
        <w:t xml:space="preserve">discapacidad; si </w:t>
      </w:r>
      <w:r w:rsidR="002B689E" w:rsidRPr="00082663">
        <w:rPr>
          <w:lang w:val="es-ES"/>
        </w:rPr>
        <w:t>hubiera</w:t>
      </w:r>
      <w:r w:rsidRPr="00082663">
        <w:rPr>
          <w:lang w:val="es-ES"/>
        </w:rPr>
        <w:t xml:space="preserve"> protección legal y apoyo para las familias, se podría</w:t>
      </w:r>
      <w:r w:rsidR="002B689E" w:rsidRPr="00082663">
        <w:rPr>
          <w:lang w:val="es-ES"/>
        </w:rPr>
        <w:t xml:space="preserve"> poner fin a</w:t>
      </w:r>
      <w:r w:rsidRPr="00082663">
        <w:rPr>
          <w:lang w:val="es-ES"/>
        </w:rPr>
        <w:t xml:space="preserve"> nuevas </w:t>
      </w:r>
      <w:r w:rsidR="00A079EC">
        <w:rPr>
          <w:lang w:val="es-ES"/>
        </w:rPr>
        <w:t>admisiones en instituciones</w:t>
      </w:r>
      <w:r w:rsidRPr="00082663">
        <w:rPr>
          <w:lang w:val="es-ES"/>
        </w:rPr>
        <w:t>.</w:t>
      </w:r>
    </w:p>
    <w:p w14:paraId="0BE77B36" w14:textId="77777777" w:rsidR="00082663" w:rsidRDefault="00021640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Millones de</w:t>
      </w:r>
      <w:r w:rsidR="002B689E" w:rsidRPr="00082663">
        <w:rPr>
          <w:b/>
          <w:bCs/>
          <w:lang w:val="es-ES"/>
        </w:rPr>
        <w:t xml:space="preserve"> niñas, niños y adolescentes</w:t>
      </w:r>
      <w:r w:rsidRPr="00082663">
        <w:rPr>
          <w:b/>
          <w:bCs/>
          <w:lang w:val="es-ES"/>
        </w:rPr>
        <w:t xml:space="preserve"> permanecen en instituciones</w:t>
      </w:r>
      <w:r w:rsidRPr="00082663">
        <w:rPr>
          <w:lang w:val="es-ES"/>
        </w:rPr>
        <w:t xml:space="preserve"> y </w:t>
      </w:r>
      <w:r w:rsidR="002B689E" w:rsidRPr="00082663">
        <w:rPr>
          <w:lang w:val="es-ES"/>
        </w:rPr>
        <w:t>entornos</w:t>
      </w:r>
      <w:r w:rsidRPr="00082663">
        <w:rPr>
          <w:lang w:val="es-ES"/>
        </w:rPr>
        <w:t xml:space="preserve"> residenciales en todo el mundo</w:t>
      </w:r>
      <w:r w:rsidR="00082663">
        <w:rPr>
          <w:lang w:val="es-ES"/>
        </w:rPr>
        <w:t>. S</w:t>
      </w:r>
      <w:r w:rsidRPr="00082663">
        <w:rPr>
          <w:lang w:val="es-ES"/>
        </w:rPr>
        <w:t>e sig</w:t>
      </w:r>
      <w:r w:rsidR="00082663">
        <w:rPr>
          <w:lang w:val="es-ES"/>
        </w:rPr>
        <w:t>ue</w:t>
      </w:r>
      <w:r w:rsidRPr="00082663">
        <w:rPr>
          <w:lang w:val="es-ES"/>
        </w:rPr>
        <w:t xml:space="preserve">n utilizando fondos públicos y privados para trasladar a </w:t>
      </w:r>
      <w:r w:rsidR="002B689E" w:rsidRPr="00082663">
        <w:rPr>
          <w:lang w:val="es-ES"/>
        </w:rPr>
        <w:t xml:space="preserve">las niñas, niños y adolescentes </w:t>
      </w:r>
      <w:r w:rsidRPr="00082663">
        <w:rPr>
          <w:lang w:val="es-ES"/>
        </w:rPr>
        <w:t>de instituciones grandes a más pequeñas (como hogares grupales), en lugar de recibir cuidados basados ​​en la familia. Por eso es necesaria la claridad y la armonización de las normas de derechos humanos.</w:t>
      </w:r>
    </w:p>
    <w:p w14:paraId="5B25C3A2" w14:textId="056D2EF9" w:rsidR="00082663" w:rsidRDefault="00021640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Existe un alto riesgo de formas específicas de violencia</w:t>
      </w:r>
      <w:r w:rsidRPr="00082663">
        <w:rPr>
          <w:lang w:val="es-ES"/>
        </w:rPr>
        <w:t xml:space="preserve">, abuso y explotación asociados con </w:t>
      </w:r>
      <w:r w:rsidR="002B689E" w:rsidRPr="00082663">
        <w:rPr>
          <w:lang w:val="es-ES"/>
        </w:rPr>
        <w:t>instituciones y residencias grupales para niñas, niños y adolescentes</w:t>
      </w:r>
      <w:r w:rsidRPr="00082663">
        <w:rPr>
          <w:lang w:val="es-ES"/>
        </w:rPr>
        <w:t xml:space="preserve">. </w:t>
      </w:r>
      <w:r w:rsidR="002B689E" w:rsidRPr="00082663">
        <w:rPr>
          <w:lang w:val="es-ES"/>
        </w:rPr>
        <w:t xml:space="preserve">Las niñas, niños y adolescentes </w:t>
      </w:r>
      <w:r w:rsidRPr="00082663">
        <w:rPr>
          <w:lang w:val="es-ES"/>
        </w:rPr>
        <w:t xml:space="preserve">con discapacidad </w:t>
      </w:r>
      <w:r w:rsidR="002B689E" w:rsidRPr="00082663">
        <w:rPr>
          <w:lang w:val="es-ES"/>
        </w:rPr>
        <w:t xml:space="preserve">y </w:t>
      </w:r>
      <w:r w:rsidRPr="00082663">
        <w:rPr>
          <w:lang w:val="es-ES"/>
        </w:rPr>
        <w:t>no binarios corren un riesgo especial de sufrir este tipo de violencia en entornos</w:t>
      </w:r>
      <w:r w:rsidR="00082663">
        <w:rPr>
          <w:lang w:val="es-ES"/>
        </w:rPr>
        <w:t xml:space="preserve"> residenciales</w:t>
      </w:r>
      <w:r w:rsidRPr="00082663">
        <w:rPr>
          <w:lang w:val="es-ES"/>
        </w:rPr>
        <w:t>.</w:t>
      </w:r>
    </w:p>
    <w:p w14:paraId="5E656E51" w14:textId="514B91D0" w:rsidR="00021640" w:rsidRPr="00082663" w:rsidRDefault="002B689E" w:rsidP="002F4395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 xml:space="preserve">Las niñas, niños y adolescentes </w:t>
      </w:r>
      <w:r w:rsidR="00021640" w:rsidRPr="00082663">
        <w:rPr>
          <w:b/>
          <w:bCs/>
          <w:lang w:val="es-ES"/>
        </w:rPr>
        <w:t>con discapacidad</w:t>
      </w:r>
      <w:r w:rsidR="00021640" w:rsidRPr="00082663">
        <w:rPr>
          <w:lang w:val="es-ES"/>
        </w:rPr>
        <w:t xml:space="preserve"> a menudo </w:t>
      </w:r>
      <w:r w:rsidRPr="00082663">
        <w:rPr>
          <w:lang w:val="es-ES"/>
        </w:rPr>
        <w:t xml:space="preserve">no son </w:t>
      </w:r>
      <w:r w:rsidR="00912FB7" w:rsidRPr="00082663">
        <w:rPr>
          <w:lang w:val="es-ES"/>
        </w:rPr>
        <w:t>incluidos en</w:t>
      </w:r>
      <w:r w:rsidR="00021640" w:rsidRPr="00082663">
        <w:rPr>
          <w:lang w:val="es-ES"/>
        </w:rPr>
        <w:t xml:space="preserve"> los programas de reforma del cuidado infantil</w:t>
      </w:r>
      <w:r w:rsidR="00912FB7" w:rsidRPr="00082663">
        <w:rPr>
          <w:lang w:val="es-ES"/>
        </w:rPr>
        <w:t>.</w:t>
      </w:r>
      <w:r w:rsidR="00021640" w:rsidRPr="00082663">
        <w:rPr>
          <w:lang w:val="es-ES"/>
        </w:rPr>
        <w:t xml:space="preserve"> A menos que se garantice el apoyo familiar, </w:t>
      </w:r>
      <w:r w:rsidR="00912FB7" w:rsidRPr="00082663">
        <w:rPr>
          <w:lang w:val="es-ES"/>
        </w:rPr>
        <w:t>las niñas, niños y adolescentes</w:t>
      </w:r>
      <w:r w:rsidR="00021640" w:rsidRPr="00082663">
        <w:rPr>
          <w:lang w:val="es-ES"/>
        </w:rPr>
        <w:t xml:space="preserve"> con discapacidad corren el riesgo de permanecer en instituciones grandes o pequeñas, segregados de la comunidad.</w:t>
      </w:r>
    </w:p>
    <w:p w14:paraId="74460F36" w14:textId="77777777" w:rsidR="00021640" w:rsidRPr="00021640" w:rsidRDefault="00021640" w:rsidP="002F4395">
      <w:pPr>
        <w:jc w:val="both"/>
        <w:rPr>
          <w:lang w:val="es-ES"/>
        </w:rPr>
      </w:pPr>
    </w:p>
    <w:p w14:paraId="3EC27923" w14:textId="2DD5EC93" w:rsidR="00021640" w:rsidRPr="00021640" w:rsidRDefault="00912FB7" w:rsidP="002F4395">
      <w:pPr>
        <w:jc w:val="both"/>
        <w:rPr>
          <w:lang w:val="es-ES"/>
        </w:rPr>
      </w:pPr>
      <w:r w:rsidRPr="00912FB7">
        <w:rPr>
          <w:b/>
          <w:bCs/>
          <w:lang w:val="es-ES"/>
        </w:rPr>
        <w:t>Las directrices</w:t>
      </w:r>
      <w:r w:rsidR="00021640" w:rsidRPr="00912FB7">
        <w:rPr>
          <w:b/>
          <w:bCs/>
          <w:lang w:val="es-ES"/>
        </w:rPr>
        <w:t xml:space="preserve"> de los mecanismos internacionales de derechos humanos </w:t>
      </w:r>
      <w:r w:rsidRPr="00912FB7">
        <w:rPr>
          <w:b/>
          <w:bCs/>
          <w:lang w:val="es-ES"/>
        </w:rPr>
        <w:t xml:space="preserve">deberían armonizarse </w:t>
      </w:r>
      <w:r w:rsidR="00021640" w:rsidRPr="00912FB7">
        <w:rPr>
          <w:b/>
          <w:bCs/>
          <w:lang w:val="es-ES"/>
        </w:rPr>
        <w:t xml:space="preserve">para fortalecer la protección del derecho a la vida familiar. </w:t>
      </w:r>
      <w:r w:rsidRPr="00912FB7">
        <w:rPr>
          <w:b/>
          <w:bCs/>
          <w:lang w:val="es-ES"/>
        </w:rPr>
        <w:t>Un mensaje</w:t>
      </w:r>
      <w:r w:rsidR="00021640" w:rsidRPr="00912FB7">
        <w:rPr>
          <w:b/>
          <w:bCs/>
          <w:lang w:val="es-ES"/>
        </w:rPr>
        <w:t xml:space="preserve"> coherente y armonizado</w:t>
      </w:r>
      <w:r w:rsidR="00021640" w:rsidRPr="00021640">
        <w:rPr>
          <w:lang w:val="es-ES"/>
        </w:rPr>
        <w:t xml:space="preserve"> </w:t>
      </w:r>
      <w:r>
        <w:rPr>
          <w:lang w:val="es-ES"/>
        </w:rPr>
        <w:t xml:space="preserve">es </w:t>
      </w:r>
      <w:r w:rsidR="00021640" w:rsidRPr="00021640">
        <w:rPr>
          <w:lang w:val="es-ES"/>
        </w:rPr>
        <w:t xml:space="preserve">importante para garantizar que los gobiernos, los proveedores de servicios y los donantes tomen medidas unificadas para promover el derecho a la vida familiar para todos </w:t>
      </w:r>
      <w:r w:rsidRPr="00021640">
        <w:rPr>
          <w:lang w:val="es-ES"/>
        </w:rPr>
        <w:t>las niñas, niños y adolescentes</w:t>
      </w:r>
      <w:r w:rsidR="00021640" w:rsidRPr="00021640">
        <w:rPr>
          <w:lang w:val="es-ES"/>
        </w:rPr>
        <w:t xml:space="preserve">. Con este fin, los esfuerzos encaminados a armonizar </w:t>
      </w:r>
      <w:r>
        <w:rPr>
          <w:lang w:val="es-ES"/>
        </w:rPr>
        <w:t>directrices</w:t>
      </w:r>
      <w:r w:rsidR="00021640" w:rsidRPr="00021640">
        <w:rPr>
          <w:lang w:val="es-ES"/>
        </w:rPr>
        <w:t xml:space="preserve"> y normas deberían:</w:t>
      </w:r>
    </w:p>
    <w:p w14:paraId="45AE0A8F" w14:textId="77777777" w:rsidR="00021640" w:rsidRPr="00021640" w:rsidRDefault="00021640" w:rsidP="002F4395">
      <w:pPr>
        <w:jc w:val="both"/>
        <w:rPr>
          <w:lang w:val="es-ES"/>
        </w:rPr>
      </w:pPr>
      <w:r w:rsidRPr="00021640">
        <w:rPr>
          <w:lang w:val="es-ES"/>
        </w:rPr>
        <w:t xml:space="preserve"> </w:t>
      </w:r>
    </w:p>
    <w:p w14:paraId="01AB6120" w14:textId="234461A3" w:rsidR="00082663" w:rsidRDefault="00021640" w:rsidP="002F4395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Reconocer explícitamente que el derecho a la vida familiar</w:t>
      </w:r>
      <w:r w:rsidRPr="00082663">
        <w:rPr>
          <w:lang w:val="es-ES"/>
        </w:rPr>
        <w:t xml:space="preserve"> solo se </w:t>
      </w:r>
      <w:r w:rsidR="00912FB7" w:rsidRPr="00082663">
        <w:rPr>
          <w:lang w:val="es-ES"/>
        </w:rPr>
        <w:t>garantiza</w:t>
      </w:r>
      <w:r w:rsidRPr="00082663">
        <w:rPr>
          <w:lang w:val="es-ES"/>
        </w:rPr>
        <w:t xml:space="preserve"> para </w:t>
      </w:r>
      <w:r w:rsidR="00912FB7" w:rsidRPr="00082663">
        <w:rPr>
          <w:lang w:val="es-ES"/>
        </w:rPr>
        <w:t xml:space="preserve">las niñas, niños y adolescentes </w:t>
      </w:r>
      <w:r w:rsidRPr="00082663">
        <w:rPr>
          <w:lang w:val="es-ES"/>
        </w:rPr>
        <w:t>cuando</w:t>
      </w:r>
      <w:r w:rsidR="00912FB7" w:rsidRPr="00082663">
        <w:rPr>
          <w:lang w:val="es-ES"/>
        </w:rPr>
        <w:t xml:space="preserve"> ellos</w:t>
      </w:r>
      <w:r w:rsidRPr="00082663">
        <w:rPr>
          <w:lang w:val="es-ES"/>
        </w:rPr>
        <w:t xml:space="preserve"> crecen en un entorno en el que pueden formar relaciones estables con un adulto-cuidador comprometido. </w:t>
      </w:r>
      <w:r w:rsidR="00912FB7" w:rsidRPr="00082663">
        <w:rPr>
          <w:lang w:val="es-ES"/>
        </w:rPr>
        <w:t>El</w:t>
      </w:r>
      <w:r w:rsidRPr="00082663">
        <w:rPr>
          <w:lang w:val="es-ES"/>
        </w:rPr>
        <w:t xml:space="preserve"> derecho a la vida familiar no puede </w:t>
      </w:r>
      <w:r w:rsidR="00912FB7" w:rsidRPr="00082663">
        <w:rPr>
          <w:lang w:val="es-ES"/>
        </w:rPr>
        <w:t xml:space="preserve">garantizarse </w:t>
      </w:r>
      <w:r w:rsidRPr="00082663">
        <w:rPr>
          <w:lang w:val="es-ES"/>
        </w:rPr>
        <w:t xml:space="preserve">en </w:t>
      </w:r>
      <w:r w:rsidR="00082663" w:rsidRPr="00082663">
        <w:rPr>
          <w:lang w:val="es-ES"/>
        </w:rPr>
        <w:t>ningún tipo</w:t>
      </w:r>
      <w:r w:rsidRPr="00082663">
        <w:rPr>
          <w:lang w:val="es-ES"/>
        </w:rPr>
        <w:t xml:space="preserve"> de institución o entorno no familiar.</w:t>
      </w:r>
    </w:p>
    <w:p w14:paraId="2E6191A9" w14:textId="77777777" w:rsidR="00082663" w:rsidRDefault="00021640" w:rsidP="002F4395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Reflejar que las familias pueden adoptar formas diferentes y diversas</w:t>
      </w:r>
      <w:r w:rsidRPr="00082663">
        <w:rPr>
          <w:lang w:val="es-ES"/>
        </w:rPr>
        <w:t xml:space="preserve"> y pueden incluir una amplia gama de relaciones, incluidos padres casados ​​y </w:t>
      </w:r>
      <w:r w:rsidR="00082663">
        <w:rPr>
          <w:lang w:val="es-ES"/>
        </w:rPr>
        <w:t>en unión civil</w:t>
      </w:r>
      <w:r w:rsidRPr="00082663">
        <w:rPr>
          <w:lang w:val="es-ES"/>
        </w:rPr>
        <w:t xml:space="preserve">, padres solteros, padres del mismo sexo, familias adoptivas, cuidado por parientes, </w:t>
      </w:r>
      <w:proofErr w:type="spellStart"/>
      <w:r w:rsidRPr="00082663">
        <w:rPr>
          <w:lang w:val="es-ES"/>
        </w:rPr>
        <w:t>kafalah</w:t>
      </w:r>
      <w:proofErr w:type="spellEnd"/>
      <w:r w:rsidRPr="00082663">
        <w:rPr>
          <w:lang w:val="es-ES"/>
        </w:rPr>
        <w:t>, cuidado de hermanos, familia extendida y familias sustitutas.</w:t>
      </w:r>
    </w:p>
    <w:p w14:paraId="7D47E742" w14:textId="335DBE7D" w:rsidR="00021640" w:rsidRPr="00082663" w:rsidRDefault="00021640" w:rsidP="002F4395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 xml:space="preserve">Esforzarse por revisar y actualizar los estándares </w:t>
      </w:r>
      <w:r w:rsidR="00912FB7" w:rsidRPr="00082663">
        <w:rPr>
          <w:b/>
          <w:bCs/>
          <w:lang w:val="es-ES"/>
        </w:rPr>
        <w:t>existentes</w:t>
      </w:r>
      <w:r w:rsidRPr="00082663">
        <w:rPr>
          <w:lang w:val="es-ES"/>
        </w:rPr>
        <w:t xml:space="preserve">, como las Directrices de la ONU para el cuidado alternativo de </w:t>
      </w:r>
      <w:r w:rsidR="00912FB7" w:rsidRPr="00082663">
        <w:rPr>
          <w:lang w:val="es-ES"/>
        </w:rPr>
        <w:t>las niñas, niños y adolescentes</w:t>
      </w:r>
      <w:r w:rsidRPr="00082663">
        <w:rPr>
          <w:lang w:val="es-ES"/>
        </w:rPr>
        <w:t xml:space="preserve">, para </w:t>
      </w:r>
      <w:r w:rsidR="00912FB7" w:rsidRPr="00082663">
        <w:rPr>
          <w:lang w:val="es-ES"/>
        </w:rPr>
        <w:t xml:space="preserve">que reflejen </w:t>
      </w:r>
      <w:r w:rsidRPr="00082663">
        <w:rPr>
          <w:lang w:val="es-ES"/>
        </w:rPr>
        <w:t>el conocimiento científico actual sobre los peligros del cuidado colectivo no familiar y cualquier tipo de colocación institucional o residencial.</w:t>
      </w:r>
    </w:p>
    <w:p w14:paraId="25FC5549" w14:textId="701DC879" w:rsidR="00021640" w:rsidRPr="00021640" w:rsidRDefault="00021640" w:rsidP="002F4395">
      <w:pPr>
        <w:jc w:val="both"/>
        <w:rPr>
          <w:lang w:val="es-ES"/>
        </w:rPr>
      </w:pPr>
      <w:r w:rsidRPr="00021640">
        <w:rPr>
          <w:lang w:val="es-ES"/>
        </w:rPr>
        <w:t xml:space="preserve">     </w:t>
      </w:r>
    </w:p>
    <w:p w14:paraId="5C6094CE" w14:textId="4EF729F8" w:rsidR="00021640" w:rsidRPr="00912FB7" w:rsidRDefault="00912FB7" w:rsidP="002F4395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Directrices y</w:t>
      </w:r>
      <w:r w:rsidR="00021640" w:rsidRPr="00912FB7">
        <w:rPr>
          <w:b/>
          <w:bCs/>
          <w:lang w:val="es-ES"/>
        </w:rPr>
        <w:t xml:space="preserve"> normas armonizadas tendrán importantes beneficios para tod</w:t>
      </w:r>
      <w:r w:rsidR="00082663">
        <w:rPr>
          <w:b/>
          <w:bCs/>
          <w:lang w:val="es-ES"/>
        </w:rPr>
        <w:t>a</w:t>
      </w:r>
      <w:r w:rsidR="00021640" w:rsidRPr="00912FB7">
        <w:rPr>
          <w:b/>
          <w:bCs/>
          <w:lang w:val="es-ES"/>
        </w:rPr>
        <w:t xml:space="preserve">s </w:t>
      </w:r>
      <w:r w:rsidRPr="00912FB7">
        <w:rPr>
          <w:b/>
          <w:bCs/>
          <w:lang w:val="es-ES"/>
        </w:rPr>
        <w:t>las niñas, niños y adolescentes</w:t>
      </w:r>
      <w:r w:rsidR="00021640" w:rsidRPr="00912FB7">
        <w:rPr>
          <w:b/>
          <w:bCs/>
          <w:lang w:val="es-ES"/>
        </w:rPr>
        <w:t>, ya que contribuirán a:</w:t>
      </w:r>
    </w:p>
    <w:p w14:paraId="00398106" w14:textId="77777777" w:rsidR="00021640" w:rsidRPr="00021640" w:rsidRDefault="00021640" w:rsidP="002F4395">
      <w:pPr>
        <w:jc w:val="both"/>
        <w:rPr>
          <w:lang w:val="es-ES"/>
        </w:rPr>
      </w:pPr>
    </w:p>
    <w:p w14:paraId="13348237" w14:textId="77777777" w:rsidR="00082663" w:rsidRDefault="00021640" w:rsidP="002F4395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Fortalecer el papel de las familias</w:t>
      </w:r>
      <w:r w:rsidRPr="00082663">
        <w:rPr>
          <w:lang w:val="es-ES"/>
        </w:rPr>
        <w:t xml:space="preserve"> y mejorar las políticas de apoyo a los padres en el ejercicio de sus responsabilidades de crianza, previniendo la separación familiar y fomentando la inclusión y participación en la comunidad.</w:t>
      </w:r>
    </w:p>
    <w:p w14:paraId="67403D89" w14:textId="79232332" w:rsidR="00082663" w:rsidRDefault="00021640" w:rsidP="002F4395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lastRenderedPageBreak/>
        <w:t>Prote</w:t>
      </w:r>
      <w:r w:rsidR="00912FB7" w:rsidRPr="00082663">
        <w:rPr>
          <w:b/>
          <w:bCs/>
          <w:lang w:val="es-ES"/>
        </w:rPr>
        <w:t>ger</w:t>
      </w:r>
      <w:r w:rsidRPr="00082663">
        <w:rPr>
          <w:b/>
          <w:bCs/>
          <w:lang w:val="es-ES"/>
        </w:rPr>
        <w:t xml:space="preserve"> contra los peligros inherentes a la institucionalización. </w:t>
      </w:r>
      <w:r w:rsidRPr="00082663">
        <w:rPr>
          <w:lang w:val="es-ES"/>
        </w:rPr>
        <w:t>De hecho, el derecho a la vida familiar no se respeta ni se cumple cuando el Estado coloca o consiente</w:t>
      </w:r>
      <w:r w:rsidR="00912FB7" w:rsidRPr="00082663">
        <w:rPr>
          <w:lang w:val="es-ES"/>
        </w:rPr>
        <w:t xml:space="preserve"> a</w:t>
      </w:r>
      <w:r w:rsidRPr="00082663">
        <w:rPr>
          <w:lang w:val="es-ES"/>
        </w:rPr>
        <w:t xml:space="preserve"> la </w:t>
      </w:r>
      <w:r w:rsidR="00A079EC">
        <w:rPr>
          <w:lang w:val="es-ES"/>
        </w:rPr>
        <w:t>admisión</w:t>
      </w:r>
      <w:r w:rsidRPr="00082663">
        <w:rPr>
          <w:lang w:val="es-ES"/>
        </w:rPr>
        <w:t xml:space="preserve"> de </w:t>
      </w:r>
      <w:r w:rsidR="00912FB7" w:rsidRPr="00082663">
        <w:rPr>
          <w:lang w:val="es-ES"/>
        </w:rPr>
        <w:t xml:space="preserve">una niña, niño o adolescente </w:t>
      </w:r>
      <w:r w:rsidRPr="00082663">
        <w:rPr>
          <w:lang w:val="es-ES"/>
        </w:rPr>
        <w:t>en un entorno institucional como su lugar principal de residencia.</w:t>
      </w:r>
    </w:p>
    <w:p w14:paraId="5AAC63BA" w14:textId="02CFFC44" w:rsidR="00475A71" w:rsidRPr="00082663" w:rsidRDefault="00021640" w:rsidP="002F4395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 xml:space="preserve">Asegurar que todos </w:t>
      </w:r>
      <w:r w:rsidR="00912FB7" w:rsidRPr="00082663">
        <w:rPr>
          <w:b/>
          <w:bCs/>
          <w:lang w:val="es-ES"/>
        </w:rPr>
        <w:t xml:space="preserve">las niñas, niños y adolescentes </w:t>
      </w:r>
      <w:r w:rsidRPr="00082663">
        <w:rPr>
          <w:b/>
          <w:bCs/>
          <w:lang w:val="es-ES"/>
        </w:rPr>
        <w:t xml:space="preserve">disfruten del </w:t>
      </w:r>
      <w:r w:rsidR="00912FB7" w:rsidRPr="00082663">
        <w:rPr>
          <w:b/>
          <w:bCs/>
          <w:lang w:val="es-ES"/>
        </w:rPr>
        <w:t>“</w:t>
      </w:r>
      <w:r w:rsidRPr="00082663">
        <w:rPr>
          <w:b/>
          <w:bCs/>
          <w:lang w:val="es-ES"/>
        </w:rPr>
        <w:t>derecho a ser escuchados</w:t>
      </w:r>
      <w:r w:rsidR="00912FB7" w:rsidRPr="00082663">
        <w:rPr>
          <w:b/>
          <w:bCs/>
          <w:lang w:val="es-ES"/>
        </w:rPr>
        <w:t>”</w:t>
      </w:r>
      <w:r w:rsidRPr="00082663">
        <w:rPr>
          <w:b/>
          <w:bCs/>
          <w:lang w:val="es-ES"/>
        </w:rPr>
        <w:t>, incluidos los niños con discapacidad</w:t>
      </w:r>
      <w:r w:rsidR="00912FB7" w:rsidRPr="00082663">
        <w:rPr>
          <w:b/>
          <w:bCs/>
          <w:lang w:val="es-ES"/>
        </w:rPr>
        <w:t>,</w:t>
      </w:r>
      <w:r w:rsidRPr="00082663">
        <w:rPr>
          <w:lang w:val="es-ES"/>
        </w:rPr>
        <w:t xml:space="preserve"> en todas las decisiones relacionadas con el cuidado</w:t>
      </w:r>
      <w:r w:rsidR="00CC20AA" w:rsidRPr="00082663">
        <w:rPr>
          <w:lang w:val="es-ES"/>
        </w:rPr>
        <w:t xml:space="preserve"> tales como: </w:t>
      </w:r>
      <w:r w:rsidR="00082663">
        <w:rPr>
          <w:lang w:val="es-ES"/>
        </w:rPr>
        <w:t>opciones alternativas de cuidado</w:t>
      </w:r>
      <w:r w:rsidR="00BE608A" w:rsidRPr="00082663">
        <w:rPr>
          <w:lang w:val="es-ES"/>
        </w:rPr>
        <w:t xml:space="preserve"> disponibles, revisión de dichas opciones, </w:t>
      </w:r>
      <w:r w:rsidRPr="00082663">
        <w:rPr>
          <w:lang w:val="es-ES"/>
        </w:rPr>
        <w:t>planes para cambiar los entornos de cuidado alternativo o dejar el cuidado alternativo</w:t>
      </w:r>
      <w:r w:rsidR="00475A71" w:rsidRPr="00082663">
        <w:rPr>
          <w:lang w:val="es-ES"/>
        </w:rPr>
        <w:t>; y</w:t>
      </w:r>
      <w:r w:rsidRPr="00082663">
        <w:rPr>
          <w:lang w:val="es-ES"/>
        </w:rPr>
        <w:t xml:space="preserve"> atención y en procesos relacionados con las políticas. L</w:t>
      </w:r>
      <w:r w:rsidR="00BE608A" w:rsidRPr="00082663">
        <w:rPr>
          <w:lang w:val="es-ES"/>
        </w:rPr>
        <w:t>a</w:t>
      </w:r>
      <w:r w:rsidRPr="00082663">
        <w:rPr>
          <w:lang w:val="es-ES"/>
        </w:rPr>
        <w:t xml:space="preserve">s </w:t>
      </w:r>
      <w:r w:rsidR="00BE608A" w:rsidRPr="00082663">
        <w:rPr>
          <w:lang w:val="es-ES"/>
        </w:rPr>
        <w:t xml:space="preserve">niñas, </w:t>
      </w:r>
      <w:r w:rsidRPr="00082663">
        <w:rPr>
          <w:lang w:val="es-ES"/>
        </w:rPr>
        <w:t xml:space="preserve">niños </w:t>
      </w:r>
      <w:r w:rsidR="00BE608A" w:rsidRPr="00082663">
        <w:rPr>
          <w:lang w:val="es-ES"/>
        </w:rPr>
        <w:t xml:space="preserve">y adolescentes </w:t>
      </w:r>
      <w:r w:rsidRPr="00082663">
        <w:rPr>
          <w:lang w:val="es-ES"/>
        </w:rPr>
        <w:t>deben recibir apoyo apropiado para su edad y discapacidad</w:t>
      </w:r>
      <w:r w:rsidR="00BE608A" w:rsidRPr="00082663">
        <w:rPr>
          <w:lang w:val="es-ES"/>
        </w:rPr>
        <w:t xml:space="preserve"> </w:t>
      </w:r>
      <w:r w:rsidR="00475A71" w:rsidRPr="00082663">
        <w:rPr>
          <w:lang w:val="es-ES"/>
        </w:rPr>
        <w:t xml:space="preserve">para </w:t>
      </w:r>
      <w:r w:rsidR="00082663">
        <w:rPr>
          <w:lang w:val="es-ES"/>
        </w:rPr>
        <w:t xml:space="preserve">poder </w:t>
      </w:r>
      <w:r w:rsidR="00475A71" w:rsidRPr="00082663">
        <w:rPr>
          <w:lang w:val="es-ES"/>
        </w:rPr>
        <w:t xml:space="preserve">comprender toda la información relevante </w:t>
      </w:r>
      <w:r w:rsidR="00BE608A" w:rsidRPr="00082663">
        <w:rPr>
          <w:lang w:val="es-ES"/>
        </w:rPr>
        <w:t>y para</w:t>
      </w:r>
      <w:r w:rsidR="00475A71" w:rsidRPr="00082663">
        <w:rPr>
          <w:lang w:val="es-ES"/>
        </w:rPr>
        <w:t xml:space="preserve"> expresar sus opiniones. La discapacidad nunca debe ser un motivo para impedir que un</w:t>
      </w:r>
      <w:r w:rsidR="00082663">
        <w:rPr>
          <w:lang w:val="es-ES"/>
        </w:rPr>
        <w:t>a</w:t>
      </w:r>
      <w:r w:rsidR="00475A71" w:rsidRPr="00082663">
        <w:rPr>
          <w:lang w:val="es-ES"/>
        </w:rPr>
        <w:t xml:space="preserve"> niñ</w:t>
      </w:r>
      <w:r w:rsidR="00082663">
        <w:rPr>
          <w:lang w:val="es-ES"/>
        </w:rPr>
        <w:t>a o niño</w:t>
      </w:r>
      <w:r w:rsidR="00475A71" w:rsidRPr="00082663">
        <w:rPr>
          <w:lang w:val="es-ES"/>
        </w:rPr>
        <w:t xml:space="preserve"> exprese su punto de vista o para no tomarlo en serio.</w:t>
      </w:r>
    </w:p>
    <w:p w14:paraId="4BC1E94F" w14:textId="77777777" w:rsidR="00BE608A" w:rsidRPr="00475A71" w:rsidRDefault="00BE608A" w:rsidP="002F4395">
      <w:pPr>
        <w:jc w:val="both"/>
        <w:rPr>
          <w:lang w:val="es-ES"/>
        </w:rPr>
      </w:pPr>
    </w:p>
    <w:p w14:paraId="227AAF70" w14:textId="718ABC72" w:rsidR="00475A71" w:rsidRPr="00BE608A" w:rsidRDefault="00475A71" w:rsidP="002F4395">
      <w:pPr>
        <w:jc w:val="both"/>
        <w:rPr>
          <w:b/>
          <w:bCs/>
          <w:lang w:val="es-ES"/>
        </w:rPr>
      </w:pPr>
      <w:r w:rsidRPr="00BE608A">
        <w:rPr>
          <w:b/>
          <w:bCs/>
          <w:lang w:val="es-ES"/>
        </w:rPr>
        <w:t xml:space="preserve">Las organizaciones abajo firmantes hacen un llamado a los mecanismos de derechos humanos de las Naciones Unidas, los Estados, las agencias de cooperación internacional, los donantes y otras partes interesadas, </w:t>
      </w:r>
      <w:r w:rsidR="00BE608A" w:rsidRPr="00BE608A">
        <w:rPr>
          <w:b/>
          <w:bCs/>
          <w:lang w:val="es-ES"/>
        </w:rPr>
        <w:t xml:space="preserve">para que, </w:t>
      </w:r>
      <w:r w:rsidRPr="00BE608A">
        <w:rPr>
          <w:b/>
          <w:bCs/>
          <w:lang w:val="es-ES"/>
        </w:rPr>
        <w:t>en estrecha consulta y con la participación activa de las organizaciones de personas con discapacidad:</w:t>
      </w:r>
    </w:p>
    <w:p w14:paraId="57A91F7F" w14:textId="77777777" w:rsidR="00475A71" w:rsidRPr="00475A71" w:rsidRDefault="00475A71" w:rsidP="002F4395">
      <w:pPr>
        <w:jc w:val="both"/>
        <w:rPr>
          <w:lang w:val="es-ES"/>
        </w:rPr>
      </w:pPr>
    </w:p>
    <w:p w14:paraId="0E2A33BD" w14:textId="188775AF" w:rsidR="00475A71" w:rsidRPr="00082663" w:rsidRDefault="00475A71" w:rsidP="00082663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082663">
        <w:rPr>
          <w:b/>
          <w:bCs/>
          <w:lang w:val="es-ES"/>
        </w:rPr>
        <w:t>Emprend</w:t>
      </w:r>
      <w:r w:rsidR="00BE608A" w:rsidRPr="00082663">
        <w:rPr>
          <w:b/>
          <w:bCs/>
          <w:lang w:val="es-ES"/>
        </w:rPr>
        <w:t>an</w:t>
      </w:r>
      <w:r w:rsidRPr="00082663">
        <w:rPr>
          <w:b/>
          <w:bCs/>
          <w:lang w:val="es-ES"/>
        </w:rPr>
        <w:t xml:space="preserve"> urgentemente todos los esfuerzos </w:t>
      </w:r>
      <w:r w:rsidR="00082663">
        <w:rPr>
          <w:b/>
          <w:bCs/>
          <w:lang w:val="es-ES"/>
        </w:rPr>
        <w:t xml:space="preserve">necesarios </w:t>
      </w:r>
      <w:r w:rsidRPr="00082663">
        <w:rPr>
          <w:b/>
          <w:bCs/>
          <w:lang w:val="es-ES"/>
        </w:rPr>
        <w:t xml:space="preserve">para apoyar </w:t>
      </w:r>
      <w:r w:rsidR="00BE608A" w:rsidRPr="00082663">
        <w:rPr>
          <w:b/>
          <w:bCs/>
          <w:lang w:val="es-ES"/>
        </w:rPr>
        <w:t>el cuidado</w:t>
      </w:r>
      <w:r w:rsidRPr="00082663">
        <w:rPr>
          <w:b/>
          <w:bCs/>
          <w:lang w:val="es-ES"/>
        </w:rPr>
        <w:t xml:space="preserve"> </w:t>
      </w:r>
      <w:r w:rsidR="00BE608A" w:rsidRPr="00082663">
        <w:rPr>
          <w:b/>
          <w:bCs/>
          <w:lang w:val="es-ES"/>
        </w:rPr>
        <w:t xml:space="preserve">basado en una </w:t>
      </w:r>
      <w:r w:rsidRPr="00082663">
        <w:rPr>
          <w:b/>
          <w:bCs/>
          <w:lang w:val="es-ES"/>
        </w:rPr>
        <w:t>familia</w:t>
      </w:r>
      <w:r w:rsidRPr="00082663">
        <w:rPr>
          <w:lang w:val="es-ES"/>
        </w:rPr>
        <w:t xml:space="preserve"> </w:t>
      </w:r>
      <w:r w:rsidR="00BE608A" w:rsidRPr="00082663">
        <w:rPr>
          <w:lang w:val="es-ES"/>
        </w:rPr>
        <w:t xml:space="preserve">y no en </w:t>
      </w:r>
      <w:r w:rsidRPr="00082663">
        <w:rPr>
          <w:lang w:val="es-ES"/>
        </w:rPr>
        <w:t>instituciones grandes o pequeñas</w:t>
      </w:r>
      <w:r w:rsidR="00BE608A" w:rsidRPr="00082663">
        <w:rPr>
          <w:lang w:val="es-ES"/>
        </w:rPr>
        <w:t>. L</w:t>
      </w:r>
      <w:r w:rsidRPr="00082663">
        <w:rPr>
          <w:lang w:val="es-ES"/>
        </w:rPr>
        <w:t>os recursos disponibles deben usarse para apoyar a las familias y crear más ubicaciones basadas en la familia, no para construir o expandir nuevas instituciones grandes o pequeñas (</w:t>
      </w:r>
      <w:r w:rsidR="00BE608A" w:rsidRPr="00082663">
        <w:rPr>
          <w:lang w:val="es-ES"/>
        </w:rPr>
        <w:t xml:space="preserve">sin importar el nombre: </w:t>
      </w:r>
      <w:r w:rsidRPr="00082663">
        <w:rPr>
          <w:lang w:val="es-ES"/>
        </w:rPr>
        <w:t>'</w:t>
      </w:r>
      <w:r w:rsidR="00BE608A" w:rsidRPr="00082663">
        <w:rPr>
          <w:lang w:val="es-ES"/>
        </w:rPr>
        <w:t xml:space="preserve">cuidado </w:t>
      </w:r>
      <w:r w:rsidRPr="00082663">
        <w:rPr>
          <w:lang w:val="es-ES"/>
        </w:rPr>
        <w:t xml:space="preserve">residencial', 'hogares grupales' o 'unidades parecidas a la familia' </w:t>
      </w:r>
      <w:r w:rsidR="00BE608A" w:rsidRPr="00082663">
        <w:rPr>
          <w:lang w:val="es-ES"/>
        </w:rPr>
        <w:t>etc.</w:t>
      </w:r>
      <w:r w:rsidRPr="00082663">
        <w:rPr>
          <w:lang w:val="es-ES"/>
        </w:rPr>
        <w:t>). De acuerdo con la Observación General No. 5 sobre el derecho a vivir de manera independiente y ser incluido en la comunidad (2017) por el Comité de los Derechos de las Personas con Discapacidad:</w:t>
      </w:r>
    </w:p>
    <w:p w14:paraId="040FA305" w14:textId="6642F3BC" w:rsidR="00475A71" w:rsidRPr="00A60A0A" w:rsidRDefault="00A60A0A" w:rsidP="00082663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>“</w:t>
      </w:r>
      <w:r w:rsidRPr="00A079EC">
        <w:rPr>
          <w:lang w:val="es-ES"/>
        </w:rPr>
        <w:t>En el caso de los niños, la esencia del derecho a vivir de forma independiente y a ser incluido en la comunidad implica el derecho a crecer en una familia</w:t>
      </w:r>
      <w:r w:rsidRPr="00A60A0A">
        <w:rPr>
          <w:lang w:val="es-ES"/>
        </w:rPr>
        <w:t>”</w:t>
      </w:r>
      <w:r w:rsidR="00475A71" w:rsidRPr="00A60A0A">
        <w:rPr>
          <w:lang w:val="es-ES"/>
        </w:rPr>
        <w:t xml:space="preserve"> (párr. 37).</w:t>
      </w:r>
    </w:p>
    <w:p w14:paraId="66EDA39F" w14:textId="318D5D79" w:rsidR="00475A71" w:rsidRPr="00A60A0A" w:rsidRDefault="00A60A0A" w:rsidP="00082663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>“</w:t>
      </w:r>
      <w:r w:rsidRPr="00A079EC">
        <w:rPr>
          <w:lang w:val="es-ES"/>
        </w:rPr>
        <w:t>Los hogares funcionales, tanto grandes como pequeños, son especialmente peligrosos para los niños, para los que no hay alternativa a la necesidad de crecer en una familia. Las instituciones “de tipo familiar” siguen siendo instituciones y no pueden sustituir el cuidado de una familia</w:t>
      </w:r>
      <w:r w:rsidRPr="00A60A0A">
        <w:rPr>
          <w:lang w:val="es-ES"/>
        </w:rPr>
        <w:t xml:space="preserve">” </w:t>
      </w:r>
      <w:r w:rsidR="00475A71" w:rsidRPr="00A60A0A">
        <w:rPr>
          <w:lang w:val="es-ES"/>
        </w:rPr>
        <w:t>(párr. 16 c).</w:t>
      </w:r>
    </w:p>
    <w:p w14:paraId="26857EE2" w14:textId="5D785BCE" w:rsidR="00A60A0A" w:rsidRDefault="00D544B4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>Reconozcan</w:t>
      </w:r>
      <w:r w:rsidR="00475A71" w:rsidRPr="00A60A0A">
        <w:rPr>
          <w:lang w:val="es-ES"/>
        </w:rPr>
        <w:t xml:space="preserve"> que cualquier </w:t>
      </w:r>
      <w:r w:rsidR="00A079EC">
        <w:rPr>
          <w:lang w:val="es-ES"/>
        </w:rPr>
        <w:t>admisión</w:t>
      </w:r>
      <w:r w:rsidR="00475A71" w:rsidRPr="00A60A0A">
        <w:rPr>
          <w:lang w:val="es-ES"/>
        </w:rPr>
        <w:t xml:space="preserve"> de niñ</w:t>
      </w:r>
      <w:r w:rsidRPr="00A60A0A">
        <w:rPr>
          <w:lang w:val="es-ES"/>
        </w:rPr>
        <w:t>as, niñ</w:t>
      </w:r>
      <w:r w:rsidR="00475A71" w:rsidRPr="00A60A0A">
        <w:rPr>
          <w:lang w:val="es-ES"/>
        </w:rPr>
        <w:t>os</w:t>
      </w:r>
      <w:r w:rsidRPr="00A60A0A">
        <w:rPr>
          <w:lang w:val="es-ES"/>
        </w:rPr>
        <w:t xml:space="preserve"> y adolescentes</w:t>
      </w:r>
      <w:r w:rsidR="00475A71" w:rsidRPr="00A60A0A">
        <w:rPr>
          <w:lang w:val="es-ES"/>
        </w:rPr>
        <w:t xml:space="preserve"> en un entorno residencial fuera de la familia debe considerarse como colocación en una institución (Relator especial de las Naciones Unidas sobre los derechos de las personas con discapacidad, Poner fin a la privación de libertad sobre la base de la discapacidad (2019) A / HRC / 40/54).</w:t>
      </w:r>
    </w:p>
    <w:p w14:paraId="4BA2D07E" w14:textId="3643B997" w:rsidR="00475A71" w:rsidRPr="00A60A0A" w:rsidRDefault="00475A71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>Adopt</w:t>
      </w:r>
      <w:r w:rsidR="00D544B4" w:rsidRPr="00A60A0A">
        <w:rPr>
          <w:b/>
          <w:bCs/>
          <w:lang w:val="es-ES"/>
        </w:rPr>
        <w:t>en</w:t>
      </w:r>
      <w:r w:rsidRPr="00A60A0A">
        <w:rPr>
          <w:b/>
          <w:bCs/>
          <w:lang w:val="es-ES"/>
        </w:rPr>
        <w:t xml:space="preserve"> medidas para promover y mejorar </w:t>
      </w:r>
      <w:r w:rsidR="00D544B4" w:rsidRPr="00A60A0A">
        <w:rPr>
          <w:b/>
          <w:bCs/>
          <w:lang w:val="es-ES"/>
        </w:rPr>
        <w:t xml:space="preserve">la provisión de apoyos </w:t>
      </w:r>
      <w:r w:rsidRPr="00A60A0A">
        <w:rPr>
          <w:lang w:val="es-ES"/>
        </w:rPr>
        <w:t>a l</w:t>
      </w:r>
      <w:r w:rsidR="00D544B4" w:rsidRPr="00A60A0A">
        <w:rPr>
          <w:lang w:val="es-ES"/>
        </w:rPr>
        <w:t>as niñas,</w:t>
      </w:r>
      <w:r w:rsidRPr="00A60A0A">
        <w:rPr>
          <w:lang w:val="es-ES"/>
        </w:rPr>
        <w:t xml:space="preserve"> niños </w:t>
      </w:r>
      <w:r w:rsidR="00D544B4" w:rsidRPr="00A60A0A">
        <w:rPr>
          <w:lang w:val="es-ES"/>
        </w:rPr>
        <w:t xml:space="preserve">y adolescentes </w:t>
      </w:r>
      <w:r w:rsidRPr="00A60A0A">
        <w:rPr>
          <w:lang w:val="es-ES"/>
        </w:rPr>
        <w:t xml:space="preserve">con discapacidad y sus familias para facilitar el adecuado ejercicio de los derechos y responsabilidades parentales y facilitar la inclusión de </w:t>
      </w:r>
      <w:r w:rsidR="00D544B4" w:rsidRPr="00A60A0A">
        <w:rPr>
          <w:lang w:val="es-ES"/>
        </w:rPr>
        <w:t xml:space="preserve">las niñas, niños y adolescentes </w:t>
      </w:r>
      <w:r w:rsidRPr="00A60A0A">
        <w:rPr>
          <w:lang w:val="es-ES"/>
        </w:rPr>
        <w:t xml:space="preserve">con discapacidad en la vida comunitaria. Los gobiernos deben planificar la eliminación gradual de las instituciones, incluidas todas las formas de </w:t>
      </w:r>
      <w:r w:rsidR="00D544B4" w:rsidRPr="00A60A0A">
        <w:rPr>
          <w:lang w:val="es-ES"/>
        </w:rPr>
        <w:t>cuidado residencial</w:t>
      </w:r>
      <w:r w:rsidRPr="00A60A0A">
        <w:rPr>
          <w:lang w:val="es-ES"/>
        </w:rPr>
        <w:t xml:space="preserve"> y hogares grupales</w:t>
      </w:r>
      <w:r w:rsidR="00D544B4" w:rsidRPr="00A60A0A">
        <w:rPr>
          <w:lang w:val="es-ES"/>
        </w:rPr>
        <w:t xml:space="preserve">, en un plazo determinado y declarado </w:t>
      </w:r>
      <w:r w:rsidR="00A60A0A" w:rsidRPr="00A60A0A">
        <w:rPr>
          <w:lang w:val="es-ES"/>
        </w:rPr>
        <w:t>públicamente</w:t>
      </w:r>
      <w:r w:rsidRPr="00A60A0A">
        <w:rPr>
          <w:lang w:val="es-ES"/>
        </w:rPr>
        <w:t>. Esto incluye:</w:t>
      </w:r>
    </w:p>
    <w:p w14:paraId="40254505" w14:textId="7A322038" w:rsidR="00475A71" w:rsidRPr="00A60A0A" w:rsidRDefault="00475A71" w:rsidP="00A60A0A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lastRenderedPageBreak/>
        <w:t>adoptar una moratoria sobre nuevas admisiones en instituciones y, al mismo tiempo, establecer apoyo inmediato a las familias de niñ</w:t>
      </w:r>
      <w:r w:rsidR="00A60A0A" w:rsidRPr="00A60A0A">
        <w:rPr>
          <w:lang w:val="es-ES"/>
        </w:rPr>
        <w:t>as y niñ</w:t>
      </w:r>
      <w:r w:rsidRPr="00A60A0A">
        <w:rPr>
          <w:lang w:val="es-ES"/>
        </w:rPr>
        <w:t>os en riesgo de institucionalización;</w:t>
      </w:r>
    </w:p>
    <w:p w14:paraId="70D5A316" w14:textId="60EDD534" w:rsidR="00475A71" w:rsidRPr="00A60A0A" w:rsidRDefault="00475A71" w:rsidP="00A60A0A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>prevenir la construcción o expansión de nuevas instituciones;</w:t>
      </w:r>
    </w:p>
    <w:p w14:paraId="4EDE6DC4" w14:textId="29D7AB88" w:rsidR="00475A71" w:rsidRPr="00A60A0A" w:rsidRDefault="00475A71" w:rsidP="00A60A0A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 xml:space="preserve">desarrollar con urgencia, en consulta y con la participación </w:t>
      </w:r>
      <w:r w:rsidR="00D544B4" w:rsidRPr="00A60A0A">
        <w:rPr>
          <w:lang w:val="es-ES"/>
        </w:rPr>
        <w:t xml:space="preserve">las niñas, niños y adolescentes </w:t>
      </w:r>
      <w:r w:rsidRPr="00A60A0A">
        <w:rPr>
          <w:lang w:val="es-ES"/>
        </w:rPr>
        <w:t xml:space="preserve">con discapacidad, planes concretos para la transición de </w:t>
      </w:r>
      <w:r w:rsidR="00D544B4" w:rsidRPr="00A60A0A">
        <w:rPr>
          <w:lang w:val="es-ES"/>
        </w:rPr>
        <w:t xml:space="preserve">las niñas, niños y adolescentes </w:t>
      </w:r>
      <w:r w:rsidRPr="00A60A0A">
        <w:rPr>
          <w:lang w:val="es-ES"/>
        </w:rPr>
        <w:t xml:space="preserve">que actualmente viven en </w:t>
      </w:r>
      <w:r w:rsidR="00D544B4" w:rsidRPr="00A60A0A">
        <w:rPr>
          <w:lang w:val="es-ES"/>
        </w:rPr>
        <w:t>instituciones a un</w:t>
      </w:r>
      <w:r w:rsidRPr="00A60A0A">
        <w:rPr>
          <w:lang w:val="es-ES"/>
        </w:rPr>
        <w:t xml:space="preserve"> cuidado basado en la familia</w:t>
      </w:r>
    </w:p>
    <w:p w14:paraId="4F972FB2" w14:textId="77777777" w:rsidR="00A60A0A" w:rsidRDefault="00D544B4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 xml:space="preserve">Adopten </w:t>
      </w:r>
      <w:r w:rsidR="00475A71" w:rsidRPr="00A60A0A">
        <w:rPr>
          <w:b/>
          <w:bCs/>
          <w:lang w:val="es-ES"/>
        </w:rPr>
        <w:t>todas las medidas posibles para garantizar la protección del derecho a la vida familiar</w:t>
      </w:r>
      <w:r w:rsidR="00475A71" w:rsidRPr="00A60A0A">
        <w:rPr>
          <w:lang w:val="es-ES"/>
        </w:rPr>
        <w:t xml:space="preserve"> de </w:t>
      </w:r>
      <w:r w:rsidRPr="00A60A0A">
        <w:rPr>
          <w:lang w:val="es-ES"/>
        </w:rPr>
        <w:t xml:space="preserve">las niñas, niños y adolescentes </w:t>
      </w:r>
      <w:r w:rsidR="00475A71" w:rsidRPr="00A60A0A">
        <w:rPr>
          <w:lang w:val="es-ES"/>
        </w:rPr>
        <w:t xml:space="preserve">durante </w:t>
      </w:r>
      <w:r w:rsidRPr="00A60A0A">
        <w:rPr>
          <w:lang w:val="es-ES"/>
        </w:rPr>
        <w:t xml:space="preserve">estados de emergencia como </w:t>
      </w:r>
      <w:r w:rsidR="00475A71" w:rsidRPr="00A60A0A">
        <w:rPr>
          <w:lang w:val="es-ES"/>
        </w:rPr>
        <w:t xml:space="preserve">desastres naturales y emergencias humanitarias. Cuando los Estados no tengan otra opción que colocar a </w:t>
      </w:r>
      <w:r w:rsidRPr="00A60A0A">
        <w:rPr>
          <w:lang w:val="es-ES"/>
        </w:rPr>
        <w:t xml:space="preserve">las niñas, niños y adolescentes </w:t>
      </w:r>
      <w:r w:rsidR="00475A71" w:rsidRPr="00A60A0A">
        <w:rPr>
          <w:lang w:val="es-ES"/>
        </w:rPr>
        <w:t>privados del cuidado familiar en un entorno temporal no familiar, los lazos familiares deben mantenerse activamente y la vida familiar debe restablecerse lo antes posible.</w:t>
      </w:r>
    </w:p>
    <w:p w14:paraId="5BC8B7EE" w14:textId="77777777" w:rsidR="00A60A0A" w:rsidRDefault="00475A71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 xml:space="preserve">Prevenir y evitar </w:t>
      </w:r>
      <w:r w:rsidR="00D544B4" w:rsidRPr="00A60A0A">
        <w:rPr>
          <w:b/>
          <w:bCs/>
          <w:lang w:val="es-ES"/>
        </w:rPr>
        <w:t xml:space="preserve">vulnerar </w:t>
      </w:r>
      <w:r w:rsidRPr="00A60A0A">
        <w:rPr>
          <w:b/>
          <w:bCs/>
          <w:lang w:val="es-ES"/>
        </w:rPr>
        <w:t xml:space="preserve">el derecho universal de </w:t>
      </w:r>
      <w:r w:rsidR="00D544B4" w:rsidRPr="00A60A0A">
        <w:rPr>
          <w:b/>
          <w:bCs/>
          <w:lang w:val="es-ES"/>
        </w:rPr>
        <w:t>todas las niñas, niños y adolescentes</w:t>
      </w:r>
      <w:r w:rsidRPr="00A60A0A">
        <w:rPr>
          <w:b/>
          <w:bCs/>
          <w:lang w:val="es-ES"/>
        </w:rPr>
        <w:t xml:space="preserve"> a vivir y crecer con una familia</w:t>
      </w:r>
      <w:r w:rsidRPr="00A60A0A">
        <w:rPr>
          <w:lang w:val="es-ES"/>
        </w:rPr>
        <w:t xml:space="preserve"> </w:t>
      </w:r>
      <w:r w:rsidR="00D544B4" w:rsidRPr="00A60A0A">
        <w:rPr>
          <w:lang w:val="es-ES"/>
        </w:rPr>
        <w:t>en casos de</w:t>
      </w:r>
      <w:r w:rsidRPr="00A60A0A">
        <w:rPr>
          <w:lang w:val="es-ES"/>
        </w:rPr>
        <w:t xml:space="preserve"> crisis y desintegración familiar. Los estados deben invertir en sistemas de apoyo de emergencia para </w:t>
      </w:r>
      <w:r w:rsidR="00D544B4" w:rsidRPr="00A60A0A">
        <w:rPr>
          <w:lang w:val="es-ES"/>
        </w:rPr>
        <w:t xml:space="preserve">que la familia extensa o modalidades de cuidados basados en la familia sean adoptados en caso de que una niña, </w:t>
      </w:r>
      <w:r w:rsidRPr="00A60A0A">
        <w:rPr>
          <w:lang w:val="es-ES"/>
        </w:rPr>
        <w:t xml:space="preserve">niño </w:t>
      </w:r>
      <w:r w:rsidR="00D544B4" w:rsidRPr="00A60A0A">
        <w:rPr>
          <w:lang w:val="es-ES"/>
        </w:rPr>
        <w:t xml:space="preserve">o adolescente no cuente con cuidado parental o </w:t>
      </w:r>
      <w:r w:rsidRPr="00A60A0A">
        <w:rPr>
          <w:lang w:val="es-ES"/>
        </w:rPr>
        <w:t xml:space="preserve">experimente abuso en el hogar. </w:t>
      </w:r>
    </w:p>
    <w:p w14:paraId="78BC86DC" w14:textId="77777777" w:rsidR="00A60A0A" w:rsidRDefault="00475A71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 xml:space="preserve">Prevenir la estigmatización y la discriminación de </w:t>
      </w:r>
      <w:r w:rsidR="00D544B4" w:rsidRPr="00A60A0A">
        <w:rPr>
          <w:b/>
          <w:bCs/>
          <w:lang w:val="es-ES"/>
        </w:rPr>
        <w:t xml:space="preserve">las niñas, niños y adolescentes </w:t>
      </w:r>
      <w:r w:rsidRPr="00A60A0A">
        <w:rPr>
          <w:b/>
          <w:bCs/>
          <w:lang w:val="es-ES"/>
        </w:rPr>
        <w:t>por motivos de discapacidad</w:t>
      </w:r>
      <w:r w:rsidRPr="00A60A0A">
        <w:rPr>
          <w:lang w:val="es-ES"/>
        </w:rPr>
        <w:t xml:space="preserve">, </w:t>
      </w:r>
      <w:r w:rsidR="00D544B4" w:rsidRPr="00A60A0A">
        <w:rPr>
          <w:lang w:val="es-ES"/>
        </w:rPr>
        <w:t xml:space="preserve">las cuales </w:t>
      </w:r>
      <w:r w:rsidRPr="00A60A0A">
        <w:rPr>
          <w:lang w:val="es-ES"/>
        </w:rPr>
        <w:t xml:space="preserve">son barreras para la inclusión y la desinstitucionalización. Los Estados deben adoptar medidas de sensibilización sobre los derechos de las personas con discapacidad (artículo 8 de la CDPD), con especial atención a los derechos de </w:t>
      </w:r>
      <w:r w:rsidR="00D544B4" w:rsidRPr="00A60A0A">
        <w:rPr>
          <w:lang w:val="es-ES"/>
        </w:rPr>
        <w:t xml:space="preserve">las niñas, niños y adolescentes </w:t>
      </w:r>
      <w:r w:rsidRPr="00A60A0A">
        <w:rPr>
          <w:lang w:val="es-ES"/>
        </w:rPr>
        <w:t>con discapacidad, incluido el hecho de que los niños con discapacidad tienen el mismo derecho a la vida familiar que todos los niños.</w:t>
      </w:r>
    </w:p>
    <w:p w14:paraId="3B49C913" w14:textId="77021166" w:rsidR="00A60A0A" w:rsidRDefault="00475A71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>Mejorar la accesibilidad del entorno</w:t>
      </w:r>
      <w:r w:rsidRPr="00A60A0A">
        <w:rPr>
          <w:lang w:val="es-ES"/>
        </w:rPr>
        <w:t>, el transporte, la información y la comunicación, en particular de entornos comunitarios</w:t>
      </w:r>
      <w:r w:rsidR="00401B0C" w:rsidRPr="00A60A0A">
        <w:rPr>
          <w:lang w:val="es-ES"/>
        </w:rPr>
        <w:t xml:space="preserve">, </w:t>
      </w:r>
      <w:r w:rsidRPr="00A60A0A">
        <w:rPr>
          <w:lang w:val="es-ES"/>
        </w:rPr>
        <w:t xml:space="preserve">a través del diseño universal. La eliminación exitosa de instituciones grandes y pequeñas requerirá un compromiso a largo plazo para hacer que las comunidades sean </w:t>
      </w:r>
      <w:r w:rsidR="00A079EC">
        <w:rPr>
          <w:lang w:val="es-ES"/>
        </w:rPr>
        <w:t xml:space="preserve">inclusivas de y </w:t>
      </w:r>
      <w:r w:rsidRPr="00A60A0A">
        <w:rPr>
          <w:lang w:val="es-ES"/>
        </w:rPr>
        <w:t>accesibles</w:t>
      </w:r>
      <w:r w:rsidR="00A079EC">
        <w:rPr>
          <w:lang w:val="es-ES"/>
        </w:rPr>
        <w:t xml:space="preserve"> para</w:t>
      </w:r>
      <w:r w:rsidRPr="00A60A0A">
        <w:rPr>
          <w:lang w:val="es-ES"/>
        </w:rPr>
        <w:t xml:space="preserve"> para las personas con discapacidad.</w:t>
      </w:r>
    </w:p>
    <w:p w14:paraId="4C123A92" w14:textId="4E1CA098" w:rsidR="00475A71" w:rsidRPr="00A60A0A" w:rsidRDefault="00401B0C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lang w:val="es-ES"/>
        </w:rPr>
        <w:t xml:space="preserve">Garantizar </w:t>
      </w:r>
      <w:r w:rsidR="00475A71" w:rsidRPr="00A60A0A">
        <w:rPr>
          <w:lang w:val="es-ES"/>
        </w:rPr>
        <w:t xml:space="preserve">otros derechos humanos de </w:t>
      </w:r>
      <w:r w:rsidRPr="00A60A0A">
        <w:rPr>
          <w:lang w:val="es-ES"/>
        </w:rPr>
        <w:t xml:space="preserve">niñas, niños y adolescentes </w:t>
      </w:r>
      <w:r w:rsidR="00475A71" w:rsidRPr="00A60A0A">
        <w:rPr>
          <w:lang w:val="es-ES"/>
        </w:rPr>
        <w:t xml:space="preserve">para evitar </w:t>
      </w:r>
      <w:r w:rsidRPr="00A60A0A">
        <w:rPr>
          <w:lang w:val="es-ES"/>
        </w:rPr>
        <w:t xml:space="preserve">recurrir </w:t>
      </w:r>
      <w:r w:rsidR="00475A71" w:rsidRPr="00A60A0A">
        <w:rPr>
          <w:lang w:val="es-ES"/>
        </w:rPr>
        <w:t>a la institucionalización:</w:t>
      </w:r>
    </w:p>
    <w:p w14:paraId="725DCE99" w14:textId="51B43E97" w:rsidR="00475A71" w:rsidRPr="00A60A0A" w:rsidRDefault="00401B0C" w:rsidP="00A60A0A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 xml:space="preserve">Mejorar el acceso a </w:t>
      </w:r>
      <w:r w:rsidR="00475A71" w:rsidRPr="00A60A0A">
        <w:rPr>
          <w:lang w:val="es-ES"/>
        </w:rPr>
        <w:t>servicios de salud accesibles, asequibles y de calidad</w:t>
      </w:r>
      <w:r w:rsidRPr="00A60A0A">
        <w:rPr>
          <w:lang w:val="es-ES"/>
        </w:rPr>
        <w:t xml:space="preserve">; estos </w:t>
      </w:r>
      <w:r w:rsidR="00475A71" w:rsidRPr="00A60A0A">
        <w:rPr>
          <w:lang w:val="es-ES"/>
        </w:rPr>
        <w:t>juegan un papel vital para facilitar la inclusión social y apoyar a las familias. La imposibilidad de acceder a los servicios de salud nunca debe conducir a la separación de</w:t>
      </w:r>
      <w:r w:rsidR="00301931" w:rsidRPr="00A60A0A">
        <w:rPr>
          <w:lang w:val="es-ES"/>
        </w:rPr>
        <w:t xml:space="preserve"> la niña o</w:t>
      </w:r>
      <w:r w:rsidR="00475A71" w:rsidRPr="00A60A0A">
        <w:rPr>
          <w:lang w:val="es-ES"/>
        </w:rPr>
        <w:t xml:space="preserve"> niño de su familia. Los Estados deben actuar para garantizar el derecho a la salud de tod</w:t>
      </w:r>
      <w:r w:rsidR="00301931" w:rsidRPr="00A60A0A">
        <w:rPr>
          <w:lang w:val="es-ES"/>
        </w:rPr>
        <w:t>a</w:t>
      </w:r>
      <w:r w:rsidR="00475A71" w:rsidRPr="00A60A0A">
        <w:rPr>
          <w:lang w:val="es-ES"/>
        </w:rPr>
        <w:t>s l</w:t>
      </w:r>
      <w:r w:rsidR="00301931" w:rsidRPr="00A60A0A">
        <w:rPr>
          <w:lang w:val="es-ES"/>
        </w:rPr>
        <w:t>a</w:t>
      </w:r>
      <w:r w:rsidR="00475A71" w:rsidRPr="00A60A0A">
        <w:rPr>
          <w:lang w:val="es-ES"/>
        </w:rPr>
        <w:t xml:space="preserve">s </w:t>
      </w:r>
      <w:r w:rsidR="00301931" w:rsidRPr="00A60A0A">
        <w:rPr>
          <w:lang w:val="es-ES"/>
        </w:rPr>
        <w:t xml:space="preserve">niñas, </w:t>
      </w:r>
      <w:r w:rsidR="00475A71" w:rsidRPr="00A60A0A">
        <w:rPr>
          <w:lang w:val="es-ES"/>
        </w:rPr>
        <w:t xml:space="preserve">niños </w:t>
      </w:r>
      <w:r w:rsidR="00301931" w:rsidRPr="00A60A0A">
        <w:rPr>
          <w:lang w:val="es-ES"/>
        </w:rPr>
        <w:t xml:space="preserve">y adolescentes </w:t>
      </w:r>
      <w:r w:rsidR="00475A71" w:rsidRPr="00A60A0A">
        <w:rPr>
          <w:lang w:val="es-ES"/>
        </w:rPr>
        <w:t>con discapacidad y apoyar a sus familias con acceso a la atención médica multidisciplinaria integrada.</w:t>
      </w:r>
    </w:p>
    <w:p w14:paraId="4453E3D0" w14:textId="5685F7DE" w:rsidR="00475A71" w:rsidRPr="00A60A0A" w:rsidRDefault="00301931" w:rsidP="00A60A0A">
      <w:pPr>
        <w:pStyle w:val="ListParagraph"/>
        <w:numPr>
          <w:ilvl w:val="1"/>
          <w:numId w:val="4"/>
        </w:numPr>
        <w:jc w:val="both"/>
        <w:rPr>
          <w:lang w:val="es-ES"/>
        </w:rPr>
      </w:pPr>
      <w:r w:rsidRPr="00A60A0A">
        <w:rPr>
          <w:lang w:val="es-ES"/>
        </w:rPr>
        <w:t>El no</w:t>
      </w:r>
      <w:r w:rsidR="00475A71" w:rsidRPr="00A60A0A">
        <w:rPr>
          <w:lang w:val="es-ES"/>
        </w:rPr>
        <w:t xml:space="preserve"> </w:t>
      </w:r>
      <w:r w:rsidRPr="00A60A0A">
        <w:rPr>
          <w:lang w:val="es-ES"/>
        </w:rPr>
        <w:t xml:space="preserve">garantizar </w:t>
      </w:r>
      <w:r w:rsidR="00475A71" w:rsidRPr="00A60A0A">
        <w:rPr>
          <w:lang w:val="es-ES"/>
        </w:rPr>
        <w:t xml:space="preserve">a </w:t>
      </w:r>
      <w:r w:rsidRPr="00A60A0A">
        <w:rPr>
          <w:lang w:val="es-ES"/>
        </w:rPr>
        <w:t xml:space="preserve">todas las niñas, niños y adolescentes </w:t>
      </w:r>
      <w:r w:rsidR="00475A71" w:rsidRPr="00A60A0A">
        <w:rPr>
          <w:lang w:val="es-ES"/>
        </w:rPr>
        <w:t xml:space="preserve">el derecho a </w:t>
      </w:r>
      <w:r w:rsidRPr="00A60A0A">
        <w:rPr>
          <w:lang w:val="es-ES"/>
        </w:rPr>
        <w:t xml:space="preserve">una </w:t>
      </w:r>
      <w:r w:rsidR="00475A71" w:rsidRPr="00A60A0A">
        <w:rPr>
          <w:lang w:val="es-ES"/>
        </w:rPr>
        <w:t xml:space="preserve">educación inclusiva en todos los niveles, en sus comunidades, no puede justificar el uso de internados y otras formas de </w:t>
      </w:r>
      <w:r w:rsidRPr="00A60A0A">
        <w:rPr>
          <w:lang w:val="es-ES"/>
        </w:rPr>
        <w:t xml:space="preserve">escuelas residenciales </w:t>
      </w:r>
      <w:r w:rsidR="00475A71" w:rsidRPr="00A60A0A">
        <w:rPr>
          <w:lang w:val="es-ES"/>
        </w:rPr>
        <w:t>con el fin de ejercer el derecho a la educación.</w:t>
      </w:r>
    </w:p>
    <w:p w14:paraId="61578ED5" w14:textId="6C2467E3" w:rsidR="00475A71" w:rsidRPr="00A60A0A" w:rsidRDefault="00475A71" w:rsidP="00A60A0A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lastRenderedPageBreak/>
        <w:t>Garantizar y facilitar el derecho a acceder a la justicia</w:t>
      </w:r>
      <w:r w:rsidRPr="00A60A0A">
        <w:rPr>
          <w:lang w:val="es-ES"/>
        </w:rPr>
        <w:t xml:space="preserve"> y obtener una reparación integral y el derecho a ser escuchado en todas las decisiones relacionadas con el cuidado de </w:t>
      </w:r>
      <w:r w:rsidR="00301931" w:rsidRPr="00A60A0A">
        <w:rPr>
          <w:lang w:val="es-ES"/>
        </w:rPr>
        <w:t xml:space="preserve">todas las niñas, niños y adolescentes </w:t>
      </w:r>
      <w:r w:rsidRPr="00A60A0A">
        <w:rPr>
          <w:lang w:val="es-ES"/>
        </w:rPr>
        <w:t>que sufren la privación de su derecho a la vida familiar.</w:t>
      </w:r>
    </w:p>
    <w:p w14:paraId="52EB8292" w14:textId="236DF9B9" w:rsidR="000956B9" w:rsidRPr="000956B9" w:rsidRDefault="00475A71" w:rsidP="002F4395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A60A0A">
        <w:rPr>
          <w:b/>
          <w:bCs/>
          <w:lang w:val="es-ES"/>
        </w:rPr>
        <w:t xml:space="preserve">Desarrollar y garantizar el acceso a servicios </w:t>
      </w:r>
      <w:r w:rsidR="00301931" w:rsidRPr="00A60A0A">
        <w:rPr>
          <w:b/>
          <w:bCs/>
          <w:lang w:val="es-ES"/>
        </w:rPr>
        <w:t xml:space="preserve">y apoyos </w:t>
      </w:r>
      <w:r w:rsidRPr="00A60A0A">
        <w:rPr>
          <w:b/>
          <w:bCs/>
          <w:lang w:val="es-ES"/>
        </w:rPr>
        <w:t>en la comunidad</w:t>
      </w:r>
      <w:r w:rsidRPr="00A60A0A">
        <w:rPr>
          <w:lang w:val="es-ES"/>
        </w:rPr>
        <w:t xml:space="preserve">, </w:t>
      </w:r>
      <w:r w:rsidR="00301931" w:rsidRPr="00A60A0A">
        <w:rPr>
          <w:lang w:val="es-ES"/>
        </w:rPr>
        <w:t xml:space="preserve">tales como </w:t>
      </w:r>
      <w:r w:rsidRPr="00A60A0A">
        <w:rPr>
          <w:lang w:val="es-ES"/>
        </w:rPr>
        <w:t>la asistencia personal</w:t>
      </w:r>
      <w:r w:rsidR="00301931" w:rsidRPr="00A60A0A">
        <w:rPr>
          <w:lang w:val="es-ES"/>
        </w:rPr>
        <w:t xml:space="preserve"> y </w:t>
      </w:r>
      <w:r w:rsidRPr="00A60A0A">
        <w:rPr>
          <w:lang w:val="es-ES"/>
        </w:rPr>
        <w:t>el apoyo de pares para l</w:t>
      </w:r>
      <w:r w:rsidR="00301931" w:rsidRPr="00A60A0A">
        <w:rPr>
          <w:lang w:val="es-ES"/>
        </w:rPr>
        <w:t>as y l</w:t>
      </w:r>
      <w:r w:rsidRPr="00A60A0A">
        <w:rPr>
          <w:lang w:val="es-ES"/>
        </w:rPr>
        <w:t>os jóvenes con discapacidad en su transición a la edad adulta. L</w:t>
      </w:r>
      <w:r w:rsidR="00301931" w:rsidRPr="00A60A0A">
        <w:rPr>
          <w:lang w:val="es-ES"/>
        </w:rPr>
        <w:t>as y l</w:t>
      </w:r>
      <w:r w:rsidRPr="00A60A0A">
        <w:rPr>
          <w:lang w:val="es-ES"/>
        </w:rPr>
        <w:t>os jóvenes con discapacidad también deben tener la oportunidad de elegir dónde y con quién vivir, de conformidad con el artículo 19 de la CDPD, y teniendo en cuenta que los arreglos de vida independiente se definen en la Observación general núm. 5 del Comité de la CDPD como “entornos de vida fuera de la residencia instituciones de todo tipo”.</w:t>
      </w:r>
    </w:p>
    <w:p w14:paraId="16DDC6D1" w14:textId="77777777" w:rsidR="000956B9" w:rsidRDefault="000956B9" w:rsidP="002F4395">
      <w:pPr>
        <w:jc w:val="both"/>
        <w:rPr>
          <w:lang w:val="es-ES"/>
        </w:rPr>
      </w:pPr>
    </w:p>
    <w:p w14:paraId="347E8A92" w14:textId="2F4FF016" w:rsidR="003B78C5" w:rsidRDefault="00A60A0A" w:rsidP="002F4395">
      <w:pPr>
        <w:spacing w:line="276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Organizaciones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firmantes</w:t>
      </w:r>
      <w:proofErr w:type="spellEnd"/>
      <w:r w:rsidR="003B78C5">
        <w:rPr>
          <w:b/>
          <w:sz w:val="22"/>
          <w:szCs w:val="22"/>
        </w:rPr>
        <w:t>:</w:t>
      </w:r>
    </w:p>
    <w:p w14:paraId="7596CAF8" w14:textId="77777777" w:rsidR="003B78C5" w:rsidRDefault="003B78C5" w:rsidP="002F4395">
      <w:pPr>
        <w:spacing w:line="276" w:lineRule="auto"/>
        <w:jc w:val="both"/>
        <w:rPr>
          <w:sz w:val="22"/>
          <w:szCs w:val="22"/>
        </w:rPr>
        <w:sectPr w:rsidR="003B78C5">
          <w:footerReference w:type="even" r:id="rId19"/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4F57452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Autism Europe</w:t>
      </w:r>
    </w:p>
    <w:p w14:paraId="477C3ABE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Bazelon Center for Mental Health Law</w:t>
      </w:r>
    </w:p>
    <w:p w14:paraId="03E65368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Disability Rights International</w:t>
      </w:r>
    </w:p>
    <w:p w14:paraId="361A8217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ENIL - European Network for Independent Living</w:t>
      </w:r>
    </w:p>
    <w:p w14:paraId="31FD86DF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Inclusion International</w:t>
      </w:r>
    </w:p>
    <w:p w14:paraId="662BDCAC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International Disability Alliance</w:t>
      </w:r>
    </w:p>
    <w:p w14:paraId="3BBD8D26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International Federation for Spina Bifida and Hydrocephalus (IF)</w:t>
      </w:r>
    </w:p>
    <w:p w14:paraId="71DCBC66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Validity Foundation</w:t>
      </w:r>
    </w:p>
    <w:p w14:paraId="3C348DD7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Women Enabled International</w:t>
      </w:r>
    </w:p>
    <w:p w14:paraId="47324374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U.S. International Council on Disabilities</w:t>
      </w:r>
    </w:p>
    <w:p w14:paraId="6E528484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Stahili</w:t>
      </w:r>
      <w:proofErr w:type="spellEnd"/>
    </w:p>
    <w:p w14:paraId="6EB2B1D0" w14:textId="77777777" w:rsidR="003B78C5" w:rsidRDefault="003B78C5" w:rsidP="002F4395">
      <w:pPr>
        <w:jc w:val="both"/>
        <w:rPr>
          <w:color w:val="222222"/>
          <w:sz w:val="22"/>
          <w:szCs w:val="22"/>
          <w:highlight w:val="white"/>
        </w:rPr>
        <w:sectPr w:rsidR="003B78C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Lori E.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Talsky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Center for Human Rights of Women and Children at Michigan State University College of Law</w:t>
      </w:r>
    </w:p>
    <w:p w14:paraId="585C6E20" w14:textId="77777777" w:rsidR="003B78C5" w:rsidRDefault="003B78C5" w:rsidP="002F4395">
      <w:pPr>
        <w:spacing w:line="276" w:lineRule="auto"/>
        <w:jc w:val="both"/>
        <w:rPr>
          <w:color w:val="222222"/>
          <w:sz w:val="22"/>
          <w:szCs w:val="22"/>
          <w:highlight w:val="white"/>
        </w:rPr>
      </w:pPr>
    </w:p>
    <w:p w14:paraId="6CF99B50" w14:textId="7F1CDAFF" w:rsidR="003B78C5" w:rsidRPr="00A079EC" w:rsidRDefault="00A60A0A" w:rsidP="002F4395">
      <w:pPr>
        <w:spacing w:line="276" w:lineRule="auto"/>
        <w:jc w:val="both"/>
        <w:rPr>
          <w:b/>
          <w:color w:val="222222"/>
          <w:sz w:val="22"/>
          <w:szCs w:val="22"/>
          <w:highlight w:val="white"/>
          <w:lang w:val="es-ES"/>
        </w:rPr>
      </w:pPr>
      <w:r w:rsidRPr="00A079EC">
        <w:rPr>
          <w:b/>
          <w:color w:val="222222"/>
          <w:sz w:val="22"/>
          <w:szCs w:val="22"/>
          <w:highlight w:val="white"/>
          <w:lang w:val="es-ES"/>
        </w:rPr>
        <w:t>Organizaciones cosignatarias</w:t>
      </w:r>
      <w:r w:rsidR="003B78C5" w:rsidRPr="00A079EC">
        <w:rPr>
          <w:b/>
          <w:color w:val="222222"/>
          <w:sz w:val="22"/>
          <w:szCs w:val="22"/>
          <w:highlight w:val="white"/>
          <w:lang w:val="es-ES"/>
        </w:rPr>
        <w:t>:</w:t>
      </w:r>
    </w:p>
    <w:p w14:paraId="3EC83629" w14:textId="77777777" w:rsidR="003B78C5" w:rsidRPr="00A079EC" w:rsidRDefault="003B78C5" w:rsidP="002F4395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s-ES"/>
        </w:rPr>
        <w:sectPr w:rsidR="003B78C5" w:rsidRPr="00A079EC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D2A487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Amal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Alliance</w:t>
      </w:r>
    </w:p>
    <w:p w14:paraId="28FE9C85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A079EC">
        <w:rPr>
          <w:rFonts w:ascii="Arial" w:eastAsia="Arial" w:hAnsi="Arial" w:cs="Arial"/>
          <w:sz w:val="20"/>
          <w:szCs w:val="20"/>
          <w:lang w:val="es-ES"/>
        </w:rPr>
        <w:t>Asdown</w:t>
      </w:r>
      <w:proofErr w:type="spellEnd"/>
      <w:r w:rsidRPr="00A079EC">
        <w:rPr>
          <w:rFonts w:ascii="Arial" w:eastAsia="Arial" w:hAnsi="Arial" w:cs="Arial"/>
          <w:sz w:val="20"/>
          <w:szCs w:val="20"/>
          <w:lang w:val="es-ES"/>
        </w:rPr>
        <w:t xml:space="preserve"> Colombia</w:t>
      </w:r>
    </w:p>
    <w:p w14:paraId="4AC76D1D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Asociación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Azul</w:t>
      </w:r>
    </w:p>
    <w:p w14:paraId="5FB1C05C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A079EC">
        <w:rPr>
          <w:rFonts w:ascii="Arial" w:eastAsia="Arial" w:hAnsi="Arial" w:cs="Arial"/>
          <w:sz w:val="20"/>
          <w:szCs w:val="20"/>
          <w:highlight w:val="white"/>
          <w:lang w:val="fr-CH"/>
        </w:rPr>
        <w:t xml:space="preserve">Association d'Aide à l'Education de l'Enfant Handicapé ( AAEEH) </w:t>
      </w:r>
    </w:p>
    <w:p w14:paraId="412D668F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ASTRA Anti-trafficking Action</w:t>
      </w:r>
    </w:p>
    <w:p w14:paraId="05C44D5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Autistic Minority International</w:t>
      </w:r>
    </w:p>
    <w:p w14:paraId="56D726AB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Belgrade Centre for Human Rights</w:t>
      </w:r>
    </w:p>
    <w:p w14:paraId="16F34CD5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Bina Foundation Nigeria</w:t>
      </w:r>
    </w:p>
    <w:p w14:paraId="0ED751A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Candle of Hope Foundation</w:t>
      </w:r>
    </w:p>
    <w:p w14:paraId="75638DE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Center for Inclusive Policy</w:t>
      </w:r>
    </w:p>
    <w:p w14:paraId="0748309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Center for Public Representation</w:t>
      </w:r>
    </w:p>
    <w:p w14:paraId="777CB79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Centre for Independent Living - Sofia, Bulgaria</w:t>
      </w:r>
    </w:p>
    <w:p w14:paraId="069C188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Center for Outcome Analysis</w:t>
      </w:r>
    </w:p>
    <w:p w14:paraId="2D66233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Centre Living Upright</w:t>
      </w:r>
    </w:p>
    <w:p w14:paraId="426136C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Child Rights Centre</w:t>
      </w:r>
    </w:p>
    <w:p w14:paraId="267FC65D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Civil Association for Equality and Justice (ACIJ)</w:t>
      </w:r>
    </w:p>
    <w:p w14:paraId="0EE9B59B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Coalition for monitoring child rights in Serbia (Child Rights Centre,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Užice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Child Rights Centre, Belgrade Centre for Human Rights, ASTRA — Anti Trafficking Action and Center for Social Policy)</w:t>
      </w:r>
    </w:p>
    <w:p w14:paraId="36E8AA4A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fr-CH"/>
        </w:rPr>
      </w:pP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fr-CH"/>
        </w:rPr>
        <w:t>Colectivo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fr-CH"/>
        </w:rPr>
        <w:t xml:space="preserve"> Vida </w:t>
      </w: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fr-CH"/>
        </w:rPr>
        <w:t>Independiente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fr-CH"/>
        </w:rPr>
        <w:t xml:space="preserve"> de Guatemala</w:t>
      </w:r>
    </w:p>
    <w:p w14:paraId="16D9AE74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A079EC">
        <w:rPr>
          <w:rFonts w:ascii="Arial" w:eastAsia="Arial" w:hAnsi="Arial" w:cs="Arial"/>
          <w:sz w:val="20"/>
          <w:szCs w:val="20"/>
          <w:highlight w:val="white"/>
          <w:lang w:val="fr-CH"/>
        </w:rPr>
        <w:t>Collectif pour la promotion des droits des personnes en situation de handicap</w:t>
      </w:r>
    </w:p>
    <w:p w14:paraId="38065C4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Collective Impact</w:t>
      </w:r>
    </w:p>
    <w:p w14:paraId="670DE15C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Commonwealth Children &amp; Youth Disability Network (CCYDN)</w:t>
      </w:r>
    </w:p>
    <w:p w14:paraId="1A8B65A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Congo Handicap</w:t>
      </w:r>
    </w:p>
    <w:p w14:paraId="70C7B2B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Disability Inclusive Development Programs and Services - DIDEPAS</w:t>
      </w:r>
    </w:p>
    <w:p w14:paraId="381F609C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Disability Law and Policy Program of Syracuse University </w:t>
      </w:r>
      <w:r>
        <w:rPr>
          <w:rFonts w:ascii="Arial" w:eastAsia="Arial" w:hAnsi="Arial" w:cs="Arial"/>
          <w:sz w:val="20"/>
          <w:szCs w:val="20"/>
        </w:rPr>
        <w:t>College of Law</w:t>
      </w:r>
    </w:p>
    <w:p w14:paraId="26CA0396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"Disability Rights Agenda" NGO - Armenia</w:t>
      </w:r>
    </w:p>
    <w:p w14:paraId="2EF84CD6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Disabled Peoples' International Europe DPI-E</w:t>
      </w:r>
    </w:p>
    <w:p w14:paraId="06A88231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Disabled Survivors Unite</w:t>
      </w:r>
    </w:p>
    <w:p w14:paraId="09973A1E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DRRA</w:t>
      </w:r>
    </w:p>
    <w:p w14:paraId="099D39BD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Educom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+ (The community for the plus in education)</w:t>
      </w:r>
    </w:p>
    <w:p w14:paraId="6FBCBAE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ENTROPIA SOCIAL, A.C.</w:t>
      </w:r>
    </w:p>
    <w:p w14:paraId="365B5FC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Family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Kolping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Prykarpattya</w:t>
      </w:r>
      <w:proofErr w:type="spellEnd"/>
    </w:p>
    <w:p w14:paraId="6A7614C1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Family Power</w:t>
      </w:r>
    </w:p>
    <w:p w14:paraId="4F072A8C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A079EC">
        <w:rPr>
          <w:rFonts w:ascii="Arial" w:eastAsia="Arial" w:hAnsi="Arial" w:cs="Arial"/>
          <w:sz w:val="20"/>
          <w:szCs w:val="20"/>
          <w:highlight w:val="white"/>
          <w:lang w:val="fr-CH"/>
        </w:rPr>
        <w:t>Fédération Togolaise des Associations de Personnes Handicapées (FETAPH)</w:t>
      </w:r>
    </w:p>
    <w:p w14:paraId="60F80F0E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FemPlatz</w:t>
      </w:r>
      <w:proofErr w:type="spellEnd"/>
    </w:p>
    <w:p w14:paraId="27666FE4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Friendship Foundation</w:t>
      </w:r>
    </w:p>
    <w:p w14:paraId="1FDF559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Fundacion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transformar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preciso</w:t>
      </w:r>
      <w:proofErr w:type="spellEnd"/>
    </w:p>
    <w:p w14:paraId="55E2906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Fundația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Abilitare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Speranța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Timișoara</w:t>
      </w:r>
      <w:proofErr w:type="spellEnd"/>
    </w:p>
    <w:p w14:paraId="6FCB0C3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GatherBuildWork</w:t>
      </w:r>
      <w:proofErr w:type="spellEnd"/>
    </w:p>
    <w:p w14:paraId="5B9FC44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Georgian Academy of Childhood Disability</w:t>
      </w:r>
    </w:p>
    <w:p w14:paraId="1B391FF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GERAKAN PEDULI DISABILITAS DAN LEPRA INDONESIA (GPDLI)</w:t>
      </w:r>
    </w:p>
    <w:p w14:paraId="798C60EE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Global Campaign for Education</w:t>
      </w:r>
    </w:p>
    <w:p w14:paraId="196F839F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Global Campaign for Education-US</w:t>
      </w:r>
    </w:p>
    <w:p w14:paraId="661939A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GlobalPartnersUnited</w:t>
      </w:r>
      <w:proofErr w:type="spellEnd"/>
    </w:p>
    <w:p w14:paraId="70C5EC7F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Home Free</w:t>
      </w:r>
    </w:p>
    <w:p w14:paraId="740EB7C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-living - the Independent Living Organization of Greece </w:t>
      </w:r>
    </w:p>
    <w:p w14:paraId="73AC251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Include Me TOO</w:t>
      </w:r>
    </w:p>
    <w:p w14:paraId="2E17527F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International Charity Partnership for Every Child</w:t>
      </w:r>
    </w:p>
    <w:p w14:paraId="4FC4B11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International Child Rights Center</w:t>
      </w:r>
    </w:p>
    <w:p w14:paraId="47C9DEB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ISCSP_University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of Lisbon</w:t>
      </w:r>
    </w:p>
    <w:p w14:paraId="267146BB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Keepers of the Circle</w:t>
      </w:r>
    </w:p>
    <w:p w14:paraId="62B33545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Keystone Human Services International</w:t>
      </w:r>
    </w:p>
    <w:p w14:paraId="100F80E5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Korean Disability Forum</w:t>
      </w:r>
    </w:p>
    <w:p w14:paraId="3DD0891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Light for the World</w:t>
      </w:r>
    </w:p>
    <w:p w14:paraId="0427FE2B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Malta Federation of Organisations Persons With Disability (MFOPD)</w:t>
      </w:r>
    </w:p>
    <w:p w14:paraId="0D4E5DB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Matifadza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Hydrocephalus Care Trust</w:t>
      </w:r>
    </w:p>
    <w:p w14:paraId="126CE6E8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Mental Disability Rights Initiative MDRI-S</w:t>
      </w:r>
    </w:p>
    <w:p w14:paraId="76E30E1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National Association for Rights Protection and Advocacy</w:t>
      </w:r>
    </w:p>
    <w:p w14:paraId="7F9FC6C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National Association of Intellectual Disabilities, Island</w:t>
      </w:r>
    </w:p>
    <w:p w14:paraId="2F9A362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Network of Organizations for Children of Serbia MODS</w:t>
      </w:r>
    </w:p>
    <w:p w14:paraId="4A1B8ED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OCR ADAPTIVE ATHLETE</w:t>
      </w:r>
    </w:p>
    <w:p w14:paraId="1E43BBCE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Panhellenic Federation of Mental Health Organisations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POSOPSI</w:t>
      </w:r>
      <w:proofErr w:type="spellEnd"/>
    </w:p>
    <w:p w14:paraId="27887E51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Partnership for Early Childhood Development &amp; Disability Rights (PECDDR)</w:t>
      </w:r>
    </w:p>
    <w:p w14:paraId="3A62B0E8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Pennsylvania TASH  ("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PennTASH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")</w:t>
      </w:r>
    </w:p>
    <w:p w14:paraId="7729990F" w14:textId="77777777" w:rsidR="003B78C5" w:rsidRDefault="003B78C5" w:rsidP="002F4395">
      <w:pPr>
        <w:spacing w:before="20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Prijatelji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Srbije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(Friends of Children of Serbia)</w:t>
      </w:r>
    </w:p>
    <w:p w14:paraId="11E1BA0E" w14:textId="77777777" w:rsidR="003B78C5" w:rsidRPr="00A079EC" w:rsidRDefault="003B78C5" w:rsidP="002F4395">
      <w:pPr>
        <w:spacing w:before="20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Redesfera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Latinoamericana de la Diversidad Psicosocial</w:t>
      </w:r>
    </w:p>
    <w:p w14:paraId="1BAB6A41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Samantha’s Law</w:t>
      </w:r>
    </w:p>
    <w:p w14:paraId="1A17F7D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Samarthanam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Trust for the disabled</w:t>
      </w:r>
    </w:p>
    <w:p w14:paraId="248AA2E2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Shanta Memorial Rehabilitation Centre</w:t>
      </w:r>
    </w:p>
    <w:p w14:paraId="7597740B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Social Economic Development Society [SEDS]</w:t>
      </w:r>
    </w:p>
    <w:p w14:paraId="4E4BAFD3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Social Synergy</w:t>
      </w:r>
    </w:p>
    <w:p w14:paraId="48A505CC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SOFT tulip Foundation </w:t>
      </w:r>
    </w:p>
    <w:p w14:paraId="7DDC3C45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SPOON</w:t>
      </w:r>
    </w:p>
    <w:p w14:paraId="0501291E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Support Organization of Parents with Disabilities (SOPADI)</w:t>
      </w:r>
    </w:p>
    <w:p w14:paraId="189315BA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TASH</w:t>
      </w:r>
    </w:p>
    <w:p w14:paraId="5DB55264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Arc of Northern Virginia</w:t>
      </w:r>
    </w:p>
    <w:p w14:paraId="1026ADA8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Delia Foundation</w:t>
      </w:r>
    </w:p>
    <w:p w14:paraId="36E0CC04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Spectrum</w:t>
      </w:r>
    </w:p>
    <w:p w14:paraId="68FF81F4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The Swedish Disability Rights Federation</w:t>
      </w:r>
    </w:p>
    <w:p w14:paraId="2D2958F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Transforming Communities for Inclusion (TCI)</w:t>
      </w:r>
    </w:p>
    <w:p w14:paraId="2645CD3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Tushinde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Children's Trust</w:t>
      </w:r>
    </w:p>
    <w:p w14:paraId="5EDEDBF9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Uganda Society for Disabled Children</w:t>
      </w:r>
    </w:p>
    <w:p w14:paraId="26A9B840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Ukrainian Child Rights Network</w:t>
      </w:r>
    </w:p>
    <w:p w14:paraId="580E2C17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Union of Disabled People Organisations of Azerbaijan</w:t>
      </w:r>
    </w:p>
    <w:p w14:paraId="32BE5B14" w14:textId="77777777" w:rsidR="003B78C5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Unions of associations of persons with disabilities</w:t>
      </w:r>
    </w:p>
    <w:p w14:paraId="4BB8D73F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Uzice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Child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Rights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Centre</w:t>
      </w:r>
    </w:p>
    <w:p w14:paraId="0D266295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Vida independiente Andalucía</w:t>
      </w:r>
    </w:p>
    <w:p w14:paraId="14A0A7AD" w14:textId="77777777" w:rsidR="003B78C5" w:rsidRPr="00A079EC" w:rsidRDefault="003B78C5" w:rsidP="002F4395">
      <w:pPr>
        <w:spacing w:before="200" w:line="276" w:lineRule="auto"/>
        <w:jc w:val="both"/>
        <w:rPr>
          <w:rFonts w:ascii="Arial" w:eastAsia="Arial" w:hAnsi="Arial" w:cs="Arial"/>
          <w:sz w:val="20"/>
          <w:szCs w:val="20"/>
          <w:lang w:val="es-ES"/>
        </w:rPr>
        <w:sectPr w:rsidR="003B78C5" w:rsidRPr="00A079E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proofErr w:type="spellStart"/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>Yayasan</w:t>
      </w:r>
      <w:proofErr w:type="spellEnd"/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 xml:space="preserve"> </w:t>
      </w:r>
      <w:proofErr w:type="spellStart"/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>Setetes</w:t>
      </w:r>
      <w:proofErr w:type="spellEnd"/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 xml:space="preserve"> </w:t>
      </w:r>
      <w:proofErr w:type="spellStart"/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>Embun</w:t>
      </w:r>
      <w:proofErr w:type="spellEnd"/>
    </w:p>
    <w:p w14:paraId="724D5E81" w14:textId="77777777" w:rsidR="003B78C5" w:rsidRPr="00A079EC" w:rsidRDefault="003B78C5" w:rsidP="002F4395">
      <w:pPr>
        <w:spacing w:line="276" w:lineRule="auto"/>
        <w:jc w:val="both"/>
        <w:rPr>
          <w:b/>
          <w:color w:val="222222"/>
          <w:sz w:val="22"/>
          <w:szCs w:val="22"/>
          <w:highlight w:val="white"/>
          <w:lang w:val="es-ES"/>
        </w:rPr>
      </w:pPr>
    </w:p>
    <w:p w14:paraId="3A477FDF" w14:textId="77777777" w:rsidR="003B78C5" w:rsidRPr="00A079EC" w:rsidRDefault="003B78C5" w:rsidP="002F4395">
      <w:pPr>
        <w:spacing w:line="276" w:lineRule="auto"/>
        <w:jc w:val="both"/>
        <w:rPr>
          <w:b/>
          <w:color w:val="222222"/>
          <w:sz w:val="22"/>
          <w:szCs w:val="22"/>
          <w:highlight w:val="white"/>
          <w:lang w:val="es-ES"/>
        </w:rPr>
      </w:pPr>
    </w:p>
    <w:p w14:paraId="640164B4" w14:textId="3936ABEF" w:rsidR="003B78C5" w:rsidRDefault="00A60A0A" w:rsidP="002F4395">
      <w:pPr>
        <w:spacing w:line="276" w:lineRule="auto"/>
        <w:jc w:val="both"/>
        <w:rPr>
          <w:b/>
          <w:color w:val="222222"/>
          <w:sz w:val="22"/>
          <w:szCs w:val="22"/>
          <w:highlight w:val="white"/>
        </w:rPr>
      </w:pPr>
      <w:proofErr w:type="spellStart"/>
      <w:r>
        <w:rPr>
          <w:b/>
          <w:color w:val="222222"/>
          <w:sz w:val="22"/>
          <w:szCs w:val="22"/>
          <w:highlight w:val="white"/>
        </w:rPr>
        <w:t>Individuos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</w:rPr>
        <w:t>firmantes</w:t>
      </w:r>
      <w:proofErr w:type="spellEnd"/>
      <w:r w:rsidR="003B78C5">
        <w:rPr>
          <w:b/>
          <w:color w:val="222222"/>
          <w:sz w:val="22"/>
          <w:szCs w:val="22"/>
          <w:highlight w:val="white"/>
        </w:rPr>
        <w:t xml:space="preserve">: </w:t>
      </w:r>
    </w:p>
    <w:p w14:paraId="24812D4D" w14:textId="77777777" w:rsidR="003B78C5" w:rsidRDefault="003B78C5" w:rsidP="002F4395">
      <w:pPr>
        <w:spacing w:line="276" w:lineRule="auto"/>
        <w:jc w:val="both"/>
        <w:rPr>
          <w:b/>
          <w:color w:val="222222"/>
          <w:sz w:val="22"/>
          <w:szCs w:val="22"/>
          <w:highlight w:val="white"/>
        </w:rPr>
      </w:pPr>
    </w:p>
    <w:p w14:paraId="0AB3A9A2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  <w:sectPr w:rsidR="003B78C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97F6A58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Áine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Kelly-Costello, disability campaigner, European Network on Independent Living volunteer</w:t>
      </w:r>
    </w:p>
    <w:p w14:paraId="181F782E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Amalia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Gamio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Independent expert in human rights of persons with disabilities</w:t>
      </w:r>
    </w:p>
    <w:p w14:paraId="0A5237C2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Ana Laura Aiello, researcher</w:t>
      </w:r>
    </w:p>
    <w:p w14:paraId="0F31C60D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Andrea Parra, Latin American Network on Art. 12</w:t>
      </w:r>
    </w:p>
    <w:p w14:paraId="03879986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Angharad Beckett, PhD, FRSA, Professor of Political Sociology and Social Inclusion, Joint Director of the Centre for Disability Studies, University of Leeds, UK</w:t>
      </w:r>
    </w:p>
    <w:p w14:paraId="04195105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Anna Lawson, PhD, Professor of Law, Joint Director of the Centre for Disability Studies, University of Leeds, UK</w:t>
      </w:r>
    </w:p>
    <w:p w14:paraId="5A45EE27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Brendan Boland, Asia Foundation</w:t>
      </w:r>
    </w:p>
    <w:p w14:paraId="47CE36FE" w14:textId="77777777" w:rsidR="003B78C5" w:rsidRDefault="003B78C5" w:rsidP="002F4395">
      <w:pPr>
        <w:spacing w:after="120"/>
        <w:jc w:val="both"/>
        <w:rPr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César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Giménez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Sánchez</w:t>
      </w:r>
    </w:p>
    <w:p w14:paraId="4D208C88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David Geist</w:t>
      </w:r>
    </w:p>
    <w:p w14:paraId="74BC2A93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Deepti Karan Weiss</w:t>
      </w:r>
    </w:p>
    <w:p w14:paraId="71BA3C31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Eric A. Friedman, Global Health Justice Scholar, O'Neill Institute for National and Global Health Law, Georgetown University Law Center</w:t>
      </w:r>
    </w:p>
    <w:p w14:paraId="10A40822" w14:textId="77777777" w:rsidR="003B78C5" w:rsidRPr="00A079EC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Franke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 James</w:t>
      </w:r>
    </w:p>
    <w:p w14:paraId="7FD8BC37" w14:textId="77777777" w:rsidR="003B78C5" w:rsidRPr="00A079EC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Helen </w:t>
      </w: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Irobo</w:t>
      </w:r>
      <w:proofErr w:type="spellEnd"/>
    </w:p>
    <w:p w14:paraId="38B98F34" w14:textId="77777777" w:rsidR="003B78C5" w:rsidRPr="00A079EC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079EC">
        <w:rPr>
          <w:rFonts w:ascii="Arial" w:eastAsia="Arial" w:hAnsi="Arial" w:cs="Arial"/>
          <w:sz w:val="20"/>
          <w:szCs w:val="20"/>
          <w:highlight w:val="white"/>
          <w:lang w:val="es-ES"/>
        </w:rPr>
        <w:t>Inés Guerrero</w:t>
      </w:r>
    </w:p>
    <w:p w14:paraId="41B7963B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Jaakko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Leppänen</w:t>
      </w:r>
      <w:proofErr w:type="spellEnd"/>
    </w:p>
    <w:p w14:paraId="3B0B3531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380477E3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Joan Kaufman, PhD, Professor of Psychiatry, Johns Hopkins School of Medicine, Director of Research, Center for Child and Family Traumatic Stress, Kennedy Krieger Institute</w:t>
      </w:r>
    </w:p>
    <w:p w14:paraId="1E780633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Johanna Smits</w:t>
      </w:r>
    </w:p>
    <w:p w14:paraId="7D9297FC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Kathleen Egan</w:t>
      </w:r>
    </w:p>
    <w:p w14:paraId="7BDD86FE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Lucy Baxter</w:t>
      </w:r>
    </w:p>
    <w:p w14:paraId="7C90C691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Marcia Yale</w:t>
      </w:r>
    </w:p>
    <w:p w14:paraId="591E9219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Margaret Nyambura Mburu- O'Neill Institute for National and Global Health Law</w:t>
      </w:r>
    </w:p>
    <w:p w14:paraId="04D7B8CE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Mari Emilie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Bertheussen</w:t>
      </w:r>
      <w:proofErr w:type="spellEnd"/>
    </w:p>
    <w:p w14:paraId="62D963A4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Marilyn Long</w:t>
      </w:r>
    </w:p>
    <w:p w14:paraId="48D07C3E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Matteo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Menozzi</w:t>
      </w:r>
      <w:proofErr w:type="spellEnd"/>
    </w:p>
    <w:p w14:paraId="013B456C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Milica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Ruzicic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Novkovic</w:t>
      </w:r>
      <w:proofErr w:type="spellEnd"/>
    </w:p>
    <w:p w14:paraId="59E2ED1D" w14:textId="77777777" w:rsidR="003B78C5" w:rsidRPr="00A079EC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Mónica Marcela </w:t>
      </w:r>
      <w:proofErr w:type="spellStart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Cortinez</w:t>
      </w:r>
      <w:proofErr w:type="spellEnd"/>
      <w:r w:rsidRPr="00A079EC">
        <w:rPr>
          <w:rFonts w:ascii="Arial" w:eastAsia="Arial" w:hAnsi="Arial" w:cs="Arial"/>
          <w:color w:val="000000"/>
          <w:sz w:val="20"/>
          <w:szCs w:val="20"/>
          <w:lang w:val="es-ES"/>
        </w:rPr>
        <w:t>, Persona con discapacidad baja Visión</w:t>
      </w:r>
    </w:p>
    <w:p w14:paraId="71AF6A2B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Mr.Dayanidas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Sudhakar</w:t>
      </w:r>
      <w:proofErr w:type="spellEnd"/>
    </w:p>
    <w:p w14:paraId="7188E9DB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Nigeria National Association of the Deaf, Jigawa State chapter</w:t>
      </w:r>
    </w:p>
    <w:p w14:paraId="2C8068AD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Paul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Okpanachi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: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Peyo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World Disability Care Initiative [PWDCI] Kogi State Nigeria)</w:t>
      </w:r>
    </w:p>
    <w:p w14:paraId="553C80E6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Keravica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Early-Stage Researcher, University of Leeds, Centre for Disability Studies</w:t>
      </w:r>
    </w:p>
    <w:p w14:paraId="0D29DF69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Scott F. Nolan, Massachusetts, USA</w:t>
      </w:r>
    </w:p>
    <w:p w14:paraId="1A6C692F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Vera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Kubenz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, Research Fellow, University of Birmingham</w:t>
      </w:r>
    </w:p>
    <w:p w14:paraId="4C0BDFBA" w14:textId="77777777" w:rsidR="003B78C5" w:rsidRDefault="003B78C5" w:rsidP="002F4395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  <w:sectPr w:rsidR="003B78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Yusuke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Onoe</w:t>
      </w:r>
      <w:proofErr w:type="spellEnd"/>
    </w:p>
    <w:p w14:paraId="7E92D07D" w14:textId="77777777" w:rsidR="003B78C5" w:rsidRDefault="003B78C5" w:rsidP="002F439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553728" w14:textId="77777777" w:rsidR="003B78C5" w:rsidRDefault="003B78C5" w:rsidP="002F439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3B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74C2" w14:textId="77777777" w:rsidR="00F3336C" w:rsidRDefault="00F3336C" w:rsidP="00021640">
      <w:r>
        <w:separator/>
      </w:r>
    </w:p>
  </w:endnote>
  <w:endnote w:type="continuationSeparator" w:id="0">
    <w:p w14:paraId="47C25D86" w14:textId="77777777" w:rsidR="00F3336C" w:rsidRDefault="00F3336C" w:rsidP="0002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F942" w14:textId="77777777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end"/>
    </w:r>
  </w:p>
  <w:p w14:paraId="21BC0A35" w14:textId="77777777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8F3B" w14:textId="5B8D9D2F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9C0F40">
      <w:rPr>
        <w:rFonts w:ascii="Calibri" w:eastAsia="Calibri" w:hAnsi="Calibri" w:cs="Calibri"/>
        <w:noProof/>
        <w:color w:val="000000"/>
      </w:rPr>
      <w:t>5</w:t>
    </w:r>
    <w:r>
      <w:rPr>
        <w:color w:val="000000"/>
      </w:rPr>
      <w:fldChar w:fldCharType="end"/>
    </w:r>
  </w:p>
  <w:p w14:paraId="393EB3C9" w14:textId="77777777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D534" w14:textId="77777777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3D23FAF1" w14:textId="77777777" w:rsidR="003B78C5" w:rsidRDefault="003B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52B4" w14:textId="77777777" w:rsidR="00F3336C" w:rsidRDefault="00F3336C" w:rsidP="00021640">
      <w:r>
        <w:separator/>
      </w:r>
    </w:p>
  </w:footnote>
  <w:footnote w:type="continuationSeparator" w:id="0">
    <w:p w14:paraId="1CD32247" w14:textId="77777777" w:rsidR="00F3336C" w:rsidRDefault="00F3336C" w:rsidP="00021640">
      <w:r>
        <w:continuationSeparator/>
      </w:r>
    </w:p>
  </w:footnote>
  <w:footnote w:id="1">
    <w:p w14:paraId="454FA0B6" w14:textId="77777777" w:rsidR="00021640" w:rsidRDefault="00021640" w:rsidP="0002164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Mary Dozier, Joan Kaufman, Roger Kobak, Thomas G. O’Connor, Abraham Sagi-Schwartz, Stephen Scott, Carole Shauffer, Judith Smetana, Marinus H. van IJzendoorn, and Charles Zeanah, </w:t>
      </w:r>
      <w:r>
        <w:rPr>
          <w:i/>
          <w:color w:val="000000"/>
          <w:sz w:val="18"/>
          <w:szCs w:val="18"/>
        </w:rPr>
        <w:t>Consensus Statement on Group Care for Children and Adolescents: A Statement of Policy of the American Orthopsychiatric Association</w:t>
      </w:r>
      <w:r>
        <w:rPr>
          <w:color w:val="000000"/>
          <w:sz w:val="18"/>
          <w:szCs w:val="18"/>
        </w:rPr>
        <w:t xml:space="preserve">, 84 American Journal of Orthopsychiatry 219-225 (2014). </w:t>
      </w:r>
      <w:r>
        <w:rPr>
          <w:i/>
          <w:color w:val="000000"/>
          <w:sz w:val="18"/>
          <w:szCs w:val="18"/>
        </w:rPr>
        <w:t>See</w:t>
      </w:r>
      <w:r>
        <w:rPr>
          <w:color w:val="000000"/>
          <w:sz w:val="18"/>
          <w:szCs w:val="18"/>
        </w:rPr>
        <w:t xml:space="preserve"> further discussion in Section III </w:t>
      </w:r>
      <w:r>
        <w:rPr>
          <w:i/>
          <w:color w:val="000000"/>
          <w:sz w:val="18"/>
          <w:szCs w:val="18"/>
        </w:rPr>
        <w:t xml:space="preserve">infra.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1FDB"/>
    <w:multiLevelType w:val="hybridMultilevel"/>
    <w:tmpl w:val="9978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25A7"/>
    <w:multiLevelType w:val="hybridMultilevel"/>
    <w:tmpl w:val="6BCE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147"/>
    <w:multiLevelType w:val="hybridMultilevel"/>
    <w:tmpl w:val="976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F1699"/>
    <w:multiLevelType w:val="hybridMultilevel"/>
    <w:tmpl w:val="545C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0"/>
    <w:rsid w:val="00021640"/>
    <w:rsid w:val="00082663"/>
    <w:rsid w:val="000956B9"/>
    <w:rsid w:val="001C034C"/>
    <w:rsid w:val="002B689E"/>
    <w:rsid w:val="002F4395"/>
    <w:rsid w:val="00301931"/>
    <w:rsid w:val="003B78C5"/>
    <w:rsid w:val="003C3069"/>
    <w:rsid w:val="003F53BA"/>
    <w:rsid w:val="00401B0C"/>
    <w:rsid w:val="00475A71"/>
    <w:rsid w:val="005A3DEC"/>
    <w:rsid w:val="005C30E9"/>
    <w:rsid w:val="00731EBB"/>
    <w:rsid w:val="008C7872"/>
    <w:rsid w:val="00912FB7"/>
    <w:rsid w:val="009C0F40"/>
    <w:rsid w:val="00A02091"/>
    <w:rsid w:val="00A079EC"/>
    <w:rsid w:val="00A60A0A"/>
    <w:rsid w:val="00B2406C"/>
    <w:rsid w:val="00B51BA5"/>
    <w:rsid w:val="00BE608A"/>
    <w:rsid w:val="00BE67F6"/>
    <w:rsid w:val="00CC20AA"/>
    <w:rsid w:val="00D544B4"/>
    <w:rsid w:val="00DD680B"/>
    <w:rsid w:val="00F3336C"/>
    <w:rsid w:val="00F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99BF"/>
  <w15:chartTrackingRefBased/>
  <w15:docId w15:val="{B38EFEF1-C7A8-1840-94CC-0C24F86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Texto de nota al pie,Footnotes refss,Appel note de bas de page,referencia nota al pie,BVI fnr,Footnote number,f,4_G,16 Point,Superscript 6 Point,Texto nota al pie,Footnote Reference Char3,Footnote Reference Char1 Char,Footnote symbol"/>
    <w:basedOn w:val="DefaultParagraphFont"/>
    <w:link w:val="BVIfnrCarCarCarCar1"/>
    <w:uiPriority w:val="99"/>
    <w:unhideWhenUsed/>
    <w:rsid w:val="00021640"/>
    <w:rPr>
      <w:vertAlign w:val="superscript"/>
    </w:rPr>
  </w:style>
  <w:style w:type="paragraph" w:customStyle="1" w:styleId="BVIfnrCarCarCarCar1">
    <w:name w:val="BVI fnr Car Car Car Car1"/>
    <w:basedOn w:val="Normal"/>
    <w:link w:val="FootnoteReference"/>
    <w:uiPriority w:val="99"/>
    <w:rsid w:val="00021640"/>
    <w:pPr>
      <w:spacing w:line="240" w:lineRule="exact"/>
    </w:pPr>
    <w:rPr>
      <w:vertAlign w:val="superscript"/>
    </w:rPr>
  </w:style>
  <w:style w:type="paragraph" w:styleId="ListParagraph">
    <w:name w:val="List Paragraph"/>
    <w:basedOn w:val="Normal"/>
    <w:uiPriority w:val="34"/>
    <w:qFormat/>
    <w:rsid w:val="00082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40"/>
  </w:style>
  <w:style w:type="paragraph" w:styleId="Footer">
    <w:name w:val="footer"/>
    <w:basedOn w:val="Normal"/>
    <w:link w:val="FooterChar"/>
    <w:uiPriority w:val="99"/>
    <w:unhideWhenUsed/>
    <w:rsid w:val="009C0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International</Company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Rodriguez</dc:creator>
  <cp:keywords/>
  <dc:description/>
  <cp:lastModifiedBy>Rachel Arnold</cp:lastModifiedBy>
  <cp:revision>3</cp:revision>
  <dcterms:created xsi:type="dcterms:W3CDTF">2021-08-25T14:48:00Z</dcterms:created>
  <dcterms:modified xsi:type="dcterms:W3CDTF">2021-08-25T21:15:00Z</dcterms:modified>
</cp:coreProperties>
</file>