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CA06" w14:textId="77777777" w:rsidR="00BC040D" w:rsidRDefault="00BC040D"/>
    <w:p w14:paraId="2A1D28C4" w14:textId="77777777" w:rsidR="00BC040D" w:rsidRDefault="00BC040D"/>
    <w:p w14:paraId="3BB19FD9" w14:textId="77777777" w:rsidR="00BC040D" w:rsidRDefault="00BC040D"/>
    <w:p w14:paraId="284E2DF6" w14:textId="77777777" w:rsidR="00BC040D" w:rsidRDefault="00BC040D"/>
    <w:p w14:paraId="5A45FFF2" w14:textId="77777777" w:rsidR="006801A9" w:rsidRDefault="006801A9"/>
    <w:p w14:paraId="4A78CEFD" w14:textId="77777777" w:rsidR="006801A9" w:rsidRDefault="006801A9"/>
    <w:p w14:paraId="17A9A537" w14:textId="77777777" w:rsidR="00BC040D" w:rsidRDefault="00BC040D"/>
    <w:p w14:paraId="6233F8A2" w14:textId="77777777" w:rsidR="00BC040D" w:rsidRDefault="00BC040D"/>
    <w:p w14:paraId="7ED64DE4" w14:textId="77777777" w:rsidR="00BC040D" w:rsidRPr="00BC040D" w:rsidRDefault="00BC040D" w:rsidP="00BC040D">
      <w:pPr>
        <w:widowControl/>
        <w:shd w:val="clear" w:color="auto" w:fill="FFFFFF"/>
        <w:autoSpaceDE/>
        <w:autoSpaceDN/>
        <w:jc w:val="center"/>
        <w:rPr>
          <w:rFonts w:ascii="Arial" w:hAnsi="Arial" w:cs="Arial"/>
          <w:color w:val="222222"/>
          <w:sz w:val="56"/>
          <w:szCs w:val="56"/>
        </w:rPr>
      </w:pPr>
      <w:r w:rsidRPr="00BC040D">
        <w:rPr>
          <w:rFonts w:ascii="Arial" w:hAnsi="Arial" w:cs="Arial"/>
          <w:b/>
          <w:bCs/>
          <w:color w:val="222222"/>
          <w:sz w:val="56"/>
          <w:szCs w:val="56"/>
        </w:rPr>
        <w:t xml:space="preserve">Leading international </w:t>
      </w:r>
      <w:r w:rsidR="006801A9" w:rsidRPr="006801A9">
        <w:rPr>
          <w:rFonts w:ascii="Arial" w:hAnsi="Arial" w:cs="Arial"/>
          <w:b/>
          <w:bCs/>
          <w:color w:val="222222"/>
          <w:sz w:val="56"/>
          <w:szCs w:val="56"/>
        </w:rPr>
        <w:br/>
      </w:r>
      <w:r w:rsidRPr="00BC040D">
        <w:rPr>
          <w:rFonts w:ascii="Arial" w:hAnsi="Arial" w:cs="Arial"/>
          <w:b/>
          <w:bCs/>
          <w:color w:val="222222"/>
          <w:sz w:val="56"/>
          <w:szCs w:val="56"/>
        </w:rPr>
        <w:t>child welfare experts and clinicians</w:t>
      </w:r>
    </w:p>
    <w:p w14:paraId="7E772B5F" w14:textId="77777777" w:rsidR="006801A9" w:rsidRPr="00BC040D" w:rsidRDefault="006801A9" w:rsidP="006801A9">
      <w:pPr>
        <w:widowControl/>
        <w:shd w:val="clear" w:color="auto" w:fill="FFFFFF"/>
        <w:autoSpaceDE/>
        <w:autoSpaceDN/>
        <w:rPr>
          <w:rFonts w:ascii="Arial" w:hAnsi="Arial" w:cs="Arial"/>
          <w:color w:val="222222"/>
          <w:sz w:val="36"/>
          <w:szCs w:val="36"/>
        </w:rPr>
      </w:pPr>
    </w:p>
    <w:p w14:paraId="3CC7CBFB" w14:textId="77777777" w:rsidR="00BC040D" w:rsidRPr="00BC040D" w:rsidRDefault="00BC040D" w:rsidP="006801A9">
      <w:pPr>
        <w:widowControl/>
        <w:shd w:val="clear" w:color="auto" w:fill="FFFFFF"/>
        <w:autoSpaceDE/>
        <w:autoSpaceDN/>
        <w:jc w:val="center"/>
        <w:rPr>
          <w:rFonts w:ascii="Arial" w:hAnsi="Arial" w:cs="Arial"/>
          <w:color w:val="222222"/>
          <w:sz w:val="36"/>
          <w:szCs w:val="36"/>
        </w:rPr>
      </w:pPr>
      <w:r w:rsidRPr="00BC040D">
        <w:rPr>
          <w:rFonts w:ascii="Arial" w:hAnsi="Arial" w:cs="Arial"/>
          <w:b/>
          <w:bCs/>
          <w:color w:val="222222"/>
          <w:sz w:val="36"/>
          <w:szCs w:val="36"/>
        </w:rPr>
        <w:t xml:space="preserve">Statement supporting </w:t>
      </w:r>
      <w:r w:rsidR="006801A9">
        <w:rPr>
          <w:rFonts w:ascii="Arial" w:hAnsi="Arial" w:cs="Arial"/>
          <w:b/>
          <w:bCs/>
          <w:color w:val="222222"/>
          <w:sz w:val="36"/>
          <w:szCs w:val="36"/>
        </w:rPr>
        <w:br/>
      </w:r>
      <w:r w:rsidRPr="00BC040D">
        <w:rPr>
          <w:rFonts w:ascii="Arial" w:hAnsi="Arial" w:cs="Arial"/>
          <w:b/>
          <w:bCs/>
          <w:color w:val="222222"/>
          <w:sz w:val="36"/>
          <w:szCs w:val="36"/>
        </w:rPr>
        <w:t>the right to family life</w:t>
      </w:r>
      <w:r w:rsidR="006801A9">
        <w:rPr>
          <w:rFonts w:ascii="Arial" w:hAnsi="Arial" w:cs="Arial"/>
          <w:color w:val="222222"/>
          <w:sz w:val="36"/>
          <w:szCs w:val="36"/>
        </w:rPr>
        <w:t xml:space="preserve"> </w:t>
      </w:r>
      <w:r w:rsidRPr="00BC040D">
        <w:rPr>
          <w:rFonts w:ascii="Arial" w:hAnsi="Arial" w:cs="Arial"/>
          <w:b/>
          <w:bCs/>
          <w:color w:val="222222"/>
          <w:sz w:val="36"/>
          <w:szCs w:val="36"/>
        </w:rPr>
        <w:t xml:space="preserve">for all </w:t>
      </w:r>
      <w:proofErr w:type="gramStart"/>
      <w:r w:rsidRPr="00BC040D">
        <w:rPr>
          <w:rFonts w:ascii="Arial" w:hAnsi="Arial" w:cs="Arial"/>
          <w:b/>
          <w:bCs/>
          <w:color w:val="222222"/>
          <w:sz w:val="36"/>
          <w:szCs w:val="36"/>
        </w:rPr>
        <w:t>children</w:t>
      </w:r>
      <w:proofErr w:type="gramEnd"/>
    </w:p>
    <w:p w14:paraId="57E92862" w14:textId="77777777" w:rsidR="00BC040D" w:rsidRDefault="00BC040D" w:rsidP="00BC040D">
      <w:pPr>
        <w:widowControl/>
        <w:shd w:val="clear" w:color="auto" w:fill="FFFFFF"/>
        <w:autoSpaceDE/>
        <w:autoSpaceDN/>
        <w:jc w:val="center"/>
        <w:rPr>
          <w:rFonts w:ascii="Arial" w:hAnsi="Arial" w:cs="Arial"/>
          <w:color w:val="222222"/>
          <w:sz w:val="36"/>
          <w:szCs w:val="36"/>
        </w:rPr>
      </w:pPr>
    </w:p>
    <w:p w14:paraId="26BF2D64" w14:textId="77777777" w:rsidR="006801A9" w:rsidRDefault="006801A9" w:rsidP="00BC040D">
      <w:pPr>
        <w:widowControl/>
        <w:shd w:val="clear" w:color="auto" w:fill="FFFFFF"/>
        <w:autoSpaceDE/>
        <w:autoSpaceDN/>
        <w:jc w:val="center"/>
        <w:rPr>
          <w:rFonts w:ascii="Arial" w:hAnsi="Arial" w:cs="Arial"/>
          <w:color w:val="222222"/>
          <w:sz w:val="36"/>
          <w:szCs w:val="36"/>
        </w:rPr>
      </w:pPr>
    </w:p>
    <w:p w14:paraId="0F3D1D7D" w14:textId="77777777" w:rsidR="006801A9" w:rsidRPr="00BC040D" w:rsidRDefault="006801A9" w:rsidP="00BC040D">
      <w:pPr>
        <w:widowControl/>
        <w:shd w:val="clear" w:color="auto" w:fill="FFFFFF"/>
        <w:autoSpaceDE/>
        <w:autoSpaceDN/>
        <w:jc w:val="center"/>
        <w:rPr>
          <w:rFonts w:ascii="Arial" w:hAnsi="Arial" w:cs="Arial"/>
          <w:color w:val="222222"/>
          <w:sz w:val="36"/>
          <w:szCs w:val="36"/>
        </w:rPr>
      </w:pPr>
    </w:p>
    <w:p w14:paraId="36A0F4D1" w14:textId="77777777" w:rsidR="00BC040D" w:rsidRPr="00BC040D" w:rsidRDefault="00BC040D" w:rsidP="00BC040D">
      <w:pPr>
        <w:widowControl/>
        <w:shd w:val="clear" w:color="auto" w:fill="FFFFFF"/>
        <w:autoSpaceDE/>
        <w:autoSpaceDN/>
        <w:jc w:val="center"/>
        <w:rPr>
          <w:rFonts w:ascii="Arial" w:hAnsi="Arial" w:cs="Arial"/>
          <w:color w:val="222222"/>
          <w:sz w:val="36"/>
          <w:szCs w:val="36"/>
        </w:rPr>
      </w:pPr>
      <w:r w:rsidRPr="00BC040D">
        <w:rPr>
          <w:rFonts w:ascii="Arial" w:hAnsi="Arial" w:cs="Arial"/>
          <w:b/>
          <w:bCs/>
          <w:color w:val="222222"/>
          <w:sz w:val="36"/>
          <w:szCs w:val="36"/>
        </w:rPr>
        <w:t>Submitted to UN Committee on the Rights of Child</w:t>
      </w:r>
    </w:p>
    <w:p w14:paraId="57DCB670" w14:textId="77777777" w:rsidR="00BC040D" w:rsidRPr="00BC040D" w:rsidRDefault="00BC040D" w:rsidP="00BC040D">
      <w:pPr>
        <w:widowControl/>
        <w:shd w:val="clear" w:color="auto" w:fill="FFFFFF"/>
        <w:autoSpaceDE/>
        <w:autoSpaceDN/>
        <w:jc w:val="center"/>
        <w:rPr>
          <w:rFonts w:ascii="Arial" w:hAnsi="Arial" w:cs="Arial"/>
          <w:color w:val="222222"/>
          <w:sz w:val="36"/>
          <w:szCs w:val="36"/>
        </w:rPr>
      </w:pPr>
      <w:r w:rsidRPr="00BC040D">
        <w:rPr>
          <w:rFonts w:ascii="Arial" w:hAnsi="Arial" w:cs="Arial"/>
          <w:b/>
          <w:bCs/>
          <w:color w:val="222222"/>
          <w:sz w:val="36"/>
          <w:szCs w:val="36"/>
        </w:rPr>
        <w:t>Day of General Discussion on Alternative Care</w:t>
      </w:r>
    </w:p>
    <w:p w14:paraId="494FCF96" w14:textId="77777777" w:rsidR="00BC040D" w:rsidRPr="00BC040D" w:rsidRDefault="00BC040D" w:rsidP="00BC040D">
      <w:pPr>
        <w:widowControl/>
        <w:shd w:val="clear" w:color="auto" w:fill="FFFFFF"/>
        <w:autoSpaceDE/>
        <w:autoSpaceDN/>
        <w:jc w:val="center"/>
        <w:rPr>
          <w:rFonts w:ascii="Arial" w:hAnsi="Arial" w:cs="Arial"/>
          <w:color w:val="222222"/>
          <w:sz w:val="36"/>
          <w:szCs w:val="36"/>
        </w:rPr>
      </w:pPr>
      <w:r w:rsidRPr="00BC040D">
        <w:rPr>
          <w:rFonts w:ascii="Arial" w:hAnsi="Arial" w:cs="Arial"/>
          <w:b/>
          <w:bCs/>
          <w:color w:val="222222"/>
          <w:sz w:val="36"/>
          <w:szCs w:val="36"/>
        </w:rPr>
        <w:t>September 2021</w:t>
      </w:r>
    </w:p>
    <w:p w14:paraId="15DB92B9" w14:textId="77777777" w:rsidR="00BC040D" w:rsidRDefault="00BC040D"/>
    <w:p w14:paraId="239885E5" w14:textId="77777777" w:rsidR="00BC040D" w:rsidRDefault="00BC040D"/>
    <w:p w14:paraId="2D556EFF" w14:textId="77777777" w:rsidR="00BC040D" w:rsidRDefault="00BC040D">
      <w:r>
        <w:br w:type="page"/>
      </w:r>
    </w:p>
    <w:p w14:paraId="418FE715" w14:textId="77777777" w:rsidR="006679D9" w:rsidRDefault="006801A9">
      <w:pPr>
        <w:pStyle w:val="Title"/>
      </w:pPr>
      <w:r>
        <w:lastRenderedPageBreak/>
        <w:t>2021 Day of General Discussion</w:t>
      </w:r>
    </w:p>
    <w:p w14:paraId="48A0DE2E" w14:textId="77777777" w:rsidR="006679D9" w:rsidRDefault="006801A9">
      <w:pPr>
        <w:spacing w:line="366" w:lineRule="exact"/>
        <w:ind w:left="2912" w:right="2893"/>
        <w:jc w:val="center"/>
        <w:rPr>
          <w:b/>
          <w:i/>
          <w:sz w:val="32"/>
        </w:rPr>
      </w:pPr>
      <w:r>
        <w:rPr>
          <w:b/>
          <w:i/>
          <w:sz w:val="32"/>
        </w:rPr>
        <w:t>Children’s Rights and Alternative Care</w:t>
      </w:r>
    </w:p>
    <w:p w14:paraId="5E786479" w14:textId="77777777" w:rsidR="006679D9" w:rsidRDefault="006679D9">
      <w:pPr>
        <w:pStyle w:val="BodyText"/>
        <w:rPr>
          <w:b/>
          <w:i/>
          <w:sz w:val="36"/>
        </w:rPr>
      </w:pPr>
    </w:p>
    <w:p w14:paraId="4BB36706" w14:textId="77777777" w:rsidR="006679D9" w:rsidRDefault="006801A9">
      <w:pPr>
        <w:pStyle w:val="BodyText"/>
        <w:spacing w:before="237"/>
        <w:ind w:left="119" w:right="137"/>
      </w:pPr>
      <w:r>
        <w:t>This document is being submitted by the undersigned international group of clinicians and researchers with expertise in the disciplines of social work, child development, clinical psychology, psychiatry, pediatrics, and neurology.</w:t>
      </w:r>
    </w:p>
    <w:p w14:paraId="3C842EB1" w14:textId="77777777" w:rsidR="006679D9" w:rsidRDefault="006679D9">
      <w:pPr>
        <w:pStyle w:val="BodyText"/>
        <w:spacing w:before="5"/>
        <w:rPr>
          <w:sz w:val="24"/>
        </w:rPr>
      </w:pPr>
    </w:p>
    <w:p w14:paraId="36000A27" w14:textId="77777777" w:rsidR="006679D9" w:rsidRDefault="006801A9">
      <w:pPr>
        <w:pStyle w:val="Heading1"/>
      </w:pPr>
      <w:r>
        <w:t>Child’s Right to a Family</w:t>
      </w:r>
    </w:p>
    <w:p w14:paraId="3A924971" w14:textId="77777777" w:rsidR="006679D9" w:rsidRDefault="006679D9">
      <w:pPr>
        <w:pStyle w:val="BodyText"/>
        <w:spacing w:before="4"/>
        <w:rPr>
          <w:b/>
          <w:sz w:val="24"/>
        </w:rPr>
      </w:pPr>
    </w:p>
    <w:p w14:paraId="191854A3" w14:textId="77777777" w:rsidR="006679D9" w:rsidRDefault="006801A9">
      <w:pPr>
        <w:pStyle w:val="BodyText"/>
        <w:ind w:left="119" w:right="100"/>
      </w:pPr>
      <w:r>
        <w:t>The UN Committee on the Rights of Persons with Disabilities (CRPD) set for children the core right to live independently, be included in the community, and grow up in a family as a binding standard of international law. The UN Committee on the Rights of Children (CRC) in Article 20 states ‘placement in suitable institutions for the care of children’ is allowable when children cannot live with their parents and alternate care is necessary. It has been controversial whether the right to a family should be a standard of international law when no government has yet fully eliminated all forms of institutions or residential care. As a standard, it can be a goal to strive for; not necessarily one that must be currently universally met. The protection against discrimination is accepted as a fundamental standard of international law, even though there is no society in the world without</w:t>
      </w:r>
      <w:r>
        <w:rPr>
          <w:spacing w:val="-11"/>
        </w:rPr>
        <w:t xml:space="preserve"> </w:t>
      </w:r>
      <w:r>
        <w:t>discrimination.</w:t>
      </w:r>
      <w:r>
        <w:rPr>
          <w:vertAlign w:val="superscript"/>
        </w:rPr>
        <w:t>1</w:t>
      </w:r>
    </w:p>
    <w:p w14:paraId="5573A9DC" w14:textId="77777777" w:rsidR="006679D9" w:rsidRDefault="006679D9">
      <w:pPr>
        <w:pStyle w:val="BodyText"/>
        <w:spacing w:before="4"/>
        <w:rPr>
          <w:sz w:val="24"/>
        </w:rPr>
      </w:pPr>
    </w:p>
    <w:p w14:paraId="5148430C" w14:textId="77777777" w:rsidR="006679D9" w:rsidRDefault="006801A9">
      <w:pPr>
        <w:pStyle w:val="Heading1"/>
      </w:pPr>
      <w:r>
        <w:rPr>
          <w:color w:val="221E1F"/>
        </w:rPr>
        <w:t xml:space="preserve">Rationale for Eliminating </w:t>
      </w:r>
      <w:proofErr w:type="gramStart"/>
      <w:r>
        <w:rPr>
          <w:color w:val="221E1F"/>
        </w:rPr>
        <w:t>Large and Small Scale</w:t>
      </w:r>
      <w:proofErr w:type="gramEnd"/>
      <w:r>
        <w:rPr>
          <w:color w:val="221E1F"/>
        </w:rPr>
        <w:t xml:space="preserve"> Institutional Care</w:t>
      </w:r>
    </w:p>
    <w:p w14:paraId="5C41134D" w14:textId="77777777" w:rsidR="006679D9" w:rsidRDefault="006679D9">
      <w:pPr>
        <w:pStyle w:val="BodyText"/>
        <w:spacing w:before="4"/>
        <w:rPr>
          <w:b/>
          <w:sz w:val="24"/>
        </w:rPr>
      </w:pPr>
    </w:p>
    <w:p w14:paraId="478E590C" w14:textId="77777777" w:rsidR="006679D9" w:rsidRDefault="006801A9">
      <w:pPr>
        <w:pStyle w:val="BodyText"/>
        <w:ind w:left="119" w:right="137"/>
      </w:pPr>
      <w:r>
        <w:rPr>
          <w:color w:val="221E1F"/>
        </w:rPr>
        <w:t xml:space="preserve">As reviewed in the recently published </w:t>
      </w:r>
      <w:r>
        <w:rPr>
          <w:i/>
          <w:color w:val="221E1F"/>
        </w:rPr>
        <w:t xml:space="preserve">Lancet </w:t>
      </w:r>
      <w:r>
        <w:rPr>
          <w:color w:val="221E1F"/>
        </w:rPr>
        <w:t xml:space="preserve">Commission on Institutionalization and </w:t>
      </w:r>
      <w:proofErr w:type="spellStart"/>
      <w:r>
        <w:rPr>
          <w:color w:val="221E1F"/>
        </w:rPr>
        <w:t>Desinstitutionalization</w:t>
      </w:r>
      <w:proofErr w:type="spellEnd"/>
      <w:r>
        <w:rPr>
          <w:color w:val="221E1F"/>
        </w:rPr>
        <w:t xml:space="preserve"> of Children,</w:t>
      </w:r>
      <w:r>
        <w:rPr>
          <w:color w:val="221E1F"/>
          <w:vertAlign w:val="superscript"/>
        </w:rPr>
        <w:t>2</w:t>
      </w:r>
      <w:r>
        <w:rPr>
          <w:color w:val="221E1F"/>
        </w:rPr>
        <w:t xml:space="preserve"> the research overwhelmingly demonstrates that institutional care is detrimental to children’s development, especially </w:t>
      </w:r>
      <w:proofErr w:type="gramStart"/>
      <w:r>
        <w:rPr>
          <w:color w:val="221E1F"/>
        </w:rPr>
        <w:t>with regard to</w:t>
      </w:r>
      <w:proofErr w:type="gramEnd"/>
      <w:r>
        <w:rPr>
          <w:color w:val="221E1F"/>
        </w:rPr>
        <w:t xml:space="preserve"> physical growth, brain development (assessed head circumference), cognition, and attention. Significant but smaller negative effects are also found on children’s socioemotional development and physical health. The extant data also demonstrates that deinstitutionalization, leaving institutions for foster or family care, is associated with significant recovery in some domains (e.g., physical growth, including head circumference, and cognition), but not others (e.g., attention), with greater length of time in institutions associated with increased risk of adverse outcomes and diminished chance of recovery.</w:t>
      </w:r>
      <w:r>
        <w:rPr>
          <w:color w:val="221E1F"/>
          <w:vertAlign w:val="superscript"/>
        </w:rPr>
        <w:t>2</w:t>
      </w:r>
    </w:p>
    <w:p w14:paraId="3AFB06AA" w14:textId="77777777" w:rsidR="006679D9" w:rsidRDefault="006679D9">
      <w:pPr>
        <w:pStyle w:val="BodyText"/>
        <w:spacing w:before="4"/>
        <w:rPr>
          <w:sz w:val="24"/>
        </w:rPr>
      </w:pPr>
    </w:p>
    <w:p w14:paraId="4B3B7169" w14:textId="77777777" w:rsidR="006679D9" w:rsidRDefault="006801A9">
      <w:pPr>
        <w:pStyle w:val="BodyText"/>
        <w:ind w:left="119" w:right="178"/>
      </w:pPr>
      <w:r>
        <w:rPr>
          <w:color w:val="303030"/>
        </w:rPr>
        <w:t xml:space="preserve">Institutions have been defined </w:t>
      </w:r>
      <w:r>
        <w:rPr>
          <w:color w:val="221E1F"/>
        </w:rPr>
        <w:t>as any publicly or privately managed and staffed collective living arrangement for children that is not family based – and includes smaller scale group homes.</w:t>
      </w:r>
      <w:r>
        <w:rPr>
          <w:color w:val="221E1F"/>
          <w:vertAlign w:val="superscript"/>
        </w:rPr>
        <w:t>2,3</w:t>
      </w:r>
      <w:r>
        <w:rPr>
          <w:color w:val="221E1F"/>
        </w:rPr>
        <w:t xml:space="preserve"> </w:t>
      </w:r>
      <w:r>
        <w:rPr>
          <w:color w:val="303030"/>
        </w:rPr>
        <w:t xml:space="preserve">Many of these smaller scale group homes have similar problems as their larger predecessors, including: </w:t>
      </w:r>
      <w:r>
        <w:t>high child-to-caregiver ratios, multiple rotating shifts to cover 24/7 care, and large turn-over rates of underpaid and insufficiently trained staff.</w:t>
      </w:r>
      <w:r>
        <w:rPr>
          <w:vertAlign w:val="superscript"/>
        </w:rPr>
        <w:t>2</w:t>
      </w:r>
      <w:r>
        <w:t xml:space="preserve"> </w:t>
      </w:r>
      <w:r>
        <w:rPr>
          <w:color w:val="221E1F"/>
        </w:rPr>
        <w:t>In addition, some of the smaller scale group homes that were created to replace large-scale grossly depriving institutions have been cited for human rights abuses,</w:t>
      </w:r>
      <w:r>
        <w:rPr>
          <w:color w:val="221E1F"/>
          <w:vertAlign w:val="superscript"/>
        </w:rPr>
        <w:t>4</w:t>
      </w:r>
      <w:r>
        <w:rPr>
          <w:color w:val="221E1F"/>
        </w:rPr>
        <w:t xml:space="preserve"> and have also been linked to negative social, behavioral, and physical health outcomes for youth. </w:t>
      </w:r>
      <w:r>
        <w:t>Institutional care of children, in its many forms and structures, with long or short stays, increases children’s risk for physical and sexual abuse, multiple forms of exploitation, and a host of negative outcomes.</w:t>
      </w:r>
      <w:r>
        <w:rPr>
          <w:vertAlign w:val="superscript"/>
        </w:rPr>
        <w:t>5,</w:t>
      </w:r>
      <w:proofErr w:type="gramStart"/>
      <w:r>
        <w:rPr>
          <w:vertAlign w:val="superscript"/>
        </w:rPr>
        <w:t>6</w:t>
      </w:r>
      <w:proofErr w:type="gramEnd"/>
    </w:p>
    <w:p w14:paraId="427AB830" w14:textId="77777777" w:rsidR="006679D9" w:rsidRDefault="006679D9">
      <w:pPr>
        <w:pStyle w:val="BodyText"/>
        <w:spacing w:before="4"/>
        <w:rPr>
          <w:sz w:val="24"/>
        </w:rPr>
      </w:pPr>
    </w:p>
    <w:p w14:paraId="78F8EA9E" w14:textId="77777777" w:rsidR="006679D9" w:rsidRDefault="006801A9">
      <w:pPr>
        <w:pStyle w:val="Heading1"/>
        <w:spacing w:before="1"/>
      </w:pPr>
      <w:r>
        <w:t>Time Frame for Eliminating Institutional Care</w:t>
      </w:r>
    </w:p>
    <w:p w14:paraId="004D9FCC" w14:textId="77777777" w:rsidR="006679D9" w:rsidRDefault="006679D9">
      <w:pPr>
        <w:pStyle w:val="BodyText"/>
        <w:spacing w:before="3"/>
        <w:rPr>
          <w:b/>
          <w:sz w:val="24"/>
        </w:rPr>
      </w:pPr>
    </w:p>
    <w:p w14:paraId="3CF7F3E8" w14:textId="77777777" w:rsidR="006679D9" w:rsidRDefault="006801A9">
      <w:pPr>
        <w:pStyle w:val="BodyText"/>
        <w:ind w:left="119" w:right="117"/>
      </w:pPr>
      <w:r>
        <w:rPr>
          <w:color w:val="303030"/>
        </w:rPr>
        <w:t xml:space="preserve">There has been a call for the progressive elimination of institutional care for children, but no time frame for achieving this goal has yet been set. </w:t>
      </w:r>
      <w:r>
        <w:rPr>
          <w:color w:val="211D1E"/>
        </w:rPr>
        <w:t xml:space="preserve">As in a </w:t>
      </w:r>
      <w:proofErr w:type="gramStart"/>
      <w:r>
        <w:rPr>
          <w:color w:val="211D1E"/>
        </w:rPr>
        <w:t>four year</w:t>
      </w:r>
      <w:proofErr w:type="gramEnd"/>
      <w:r>
        <w:rPr>
          <w:color w:val="211D1E"/>
        </w:rPr>
        <w:t xml:space="preserve"> period from 2012 through 2016 Rwanda successfully placed 70% (2338/3323) of children living in institutions with their biological families or into foster care,</w:t>
      </w:r>
      <w:r>
        <w:rPr>
          <w:color w:val="221E1F"/>
          <w:vertAlign w:val="superscript"/>
        </w:rPr>
        <w:t>2</w:t>
      </w:r>
      <w:r>
        <w:rPr>
          <w:color w:val="221E1F"/>
        </w:rPr>
        <w:t xml:space="preserve"> </w:t>
      </w:r>
      <w:r>
        <w:rPr>
          <w:color w:val="211D1E"/>
        </w:rPr>
        <w:t xml:space="preserve">a twenty year period should be sufficient to achieve this goal worldwide. </w:t>
      </w:r>
      <w:r>
        <w:rPr>
          <w:color w:val="221E1F"/>
        </w:rPr>
        <w:t>Current residential and group homes can be transformed into community centers offering outpatient assessment, case management, physical therapy, mental health treatment, and other needed services; short-term specialized acute treatment programs; or transformed into family intervention centers where parents can stay with their children while they receive substance abuse treatment or other necessary services and supports.</w:t>
      </w:r>
      <w:r>
        <w:rPr>
          <w:color w:val="221E1F"/>
          <w:vertAlign w:val="superscript"/>
        </w:rPr>
        <w:t>5</w:t>
      </w:r>
    </w:p>
    <w:p w14:paraId="0F54D7DD" w14:textId="77777777" w:rsidR="006679D9" w:rsidRDefault="006679D9">
      <w:pPr>
        <w:sectPr w:rsidR="006679D9">
          <w:type w:val="continuous"/>
          <w:pgSz w:w="12240" w:h="15840"/>
          <w:pgMar w:top="680" w:right="600" w:bottom="280" w:left="620" w:header="720" w:footer="720" w:gutter="0"/>
          <w:cols w:space="720"/>
        </w:sectPr>
      </w:pPr>
    </w:p>
    <w:p w14:paraId="44E9ED36" w14:textId="77777777" w:rsidR="006679D9" w:rsidRDefault="006801A9">
      <w:pPr>
        <w:pStyle w:val="Heading1"/>
        <w:spacing w:before="80"/>
      </w:pPr>
      <w:r>
        <w:lastRenderedPageBreak/>
        <w:t>Exceptions at Times of National Emergency, Social Disruption, and War</w:t>
      </w:r>
    </w:p>
    <w:p w14:paraId="5D3E05BC" w14:textId="77777777" w:rsidR="006679D9" w:rsidRDefault="006679D9">
      <w:pPr>
        <w:pStyle w:val="BodyText"/>
        <w:spacing w:before="3"/>
        <w:rPr>
          <w:b/>
          <w:sz w:val="24"/>
        </w:rPr>
      </w:pPr>
    </w:p>
    <w:p w14:paraId="2F6EE453" w14:textId="77777777" w:rsidR="006679D9" w:rsidRDefault="006801A9">
      <w:pPr>
        <w:pStyle w:val="BodyText"/>
        <w:spacing w:before="1"/>
        <w:ind w:left="119" w:right="228"/>
      </w:pPr>
      <w:r>
        <w:t xml:space="preserve">There will be times of national emergency, social disruption, and war, including situations where there are large numbers of </w:t>
      </w:r>
      <w:proofErr w:type="gramStart"/>
      <w:r>
        <w:t>internally-displaced</w:t>
      </w:r>
      <w:proofErr w:type="gramEnd"/>
      <w:r>
        <w:t xml:space="preserve"> or unaccompanied migrant children in need of alternate care. International law has mechanisms for requiring that national emergencies by recognized, allowing certain human rights standards to be </w:t>
      </w:r>
      <w:proofErr w:type="gramStart"/>
      <w:r>
        <w:t>temporarily suspended</w:t>
      </w:r>
      <w:proofErr w:type="gramEnd"/>
      <w:r>
        <w:t>.</w:t>
      </w:r>
      <w:r>
        <w:rPr>
          <w:vertAlign w:val="superscript"/>
        </w:rPr>
        <w:t>1</w:t>
      </w:r>
      <w:r>
        <w:t xml:space="preserve"> Residential care of children may be necessary under these circumstances. Standards should be established for the residential care to be time limited, adequately resourced to meet the physical and emotional needs of the children, with mechanisms in place to help facilitate communication between children and kin not located at the site, and staff should work to achieve family-based placements for the youth as soon as</w:t>
      </w:r>
      <w:r>
        <w:rPr>
          <w:spacing w:val="-19"/>
        </w:rPr>
        <w:t xml:space="preserve"> </w:t>
      </w:r>
      <w:r>
        <w:t>possible.</w:t>
      </w:r>
    </w:p>
    <w:p w14:paraId="4C3A14A0" w14:textId="77777777" w:rsidR="006679D9" w:rsidRDefault="006679D9">
      <w:pPr>
        <w:pStyle w:val="BodyText"/>
        <w:spacing w:before="2"/>
        <w:rPr>
          <w:sz w:val="24"/>
        </w:rPr>
      </w:pPr>
    </w:p>
    <w:p w14:paraId="6B361B1C" w14:textId="77777777" w:rsidR="006679D9" w:rsidRDefault="006801A9">
      <w:pPr>
        <w:pStyle w:val="Heading1"/>
        <w:ind w:right="339"/>
      </w:pPr>
      <w:r>
        <w:t>Elimination of Institutional Care Requires an Investment in Family Support Preventive Services and Specialized Community-Based Services</w:t>
      </w:r>
    </w:p>
    <w:p w14:paraId="15BAEAF9" w14:textId="77777777" w:rsidR="006679D9" w:rsidRDefault="006679D9">
      <w:pPr>
        <w:pStyle w:val="BodyText"/>
        <w:spacing w:before="5"/>
        <w:rPr>
          <w:b/>
          <w:sz w:val="24"/>
        </w:rPr>
      </w:pPr>
    </w:p>
    <w:p w14:paraId="3ED51837" w14:textId="77777777" w:rsidR="006679D9" w:rsidRDefault="006801A9">
      <w:pPr>
        <w:pStyle w:val="BodyText"/>
        <w:spacing w:before="1"/>
        <w:ind w:left="119" w:right="136"/>
      </w:pPr>
      <w:r>
        <w:t>The United States child welfare system is far from perfect, but in the last twenty years it has decreased the number of children in out-of-home care by 25% from 567,000 to 423,997 youth.  During this same time frame the number of children who required out-of-home care who were living in institutions and group homes decreased over 90% from 102,782 to 10,154 youth.</w:t>
      </w:r>
      <w:r>
        <w:rPr>
          <w:vertAlign w:val="superscript"/>
        </w:rPr>
        <w:t>7</w:t>
      </w:r>
      <w:r>
        <w:t xml:space="preserve"> These improvements have been accomplished through the dissemination of evidence-based family support services, parent substance abuse treatment, and models of therapeutic foster care, including specialized programs for youth with psychiatric problems, developmental disabilities, and medical complexity (e.g., technology dependent youth). Resources to enhance placement of youth with kin and adoption incentives, and wide-scale implementation of trauma-informed care practices have further facilitated the goals of maintaining family-based placements and promoting resilience and recovery for youth. The California Evidence-Based Clearinghouse for Child Welfare website (</w:t>
      </w:r>
      <w:r>
        <w:rPr>
          <w:color w:val="0563C1"/>
          <w:u w:val="single" w:color="0563C1"/>
        </w:rPr>
        <w:t>https://www.cebc4cw.org</w:t>
      </w:r>
      <w:r>
        <w:t xml:space="preserve">) provides an excellent catalogue of evidence-based practices for children and families involved with the child welfare system. Professor Kaufman, the lead author of this statement, is willing to serve as a consultant to the Committee, Governments, and child serving agencies, and a liaison to colleagues with other relevant areas of expertise to facilitate the goal of achieving children’s right to a family worldwide. </w:t>
      </w:r>
      <w:r>
        <w:rPr>
          <w:color w:val="211D1E"/>
        </w:rPr>
        <w:t>With will and commitment, proper resourcing, critical international and national partnerships, and proper data to monitor progress, the practice of institutionalization of children could be eradicated by the end of</w:t>
      </w:r>
      <w:r>
        <w:rPr>
          <w:color w:val="211D1E"/>
          <w:spacing w:val="-14"/>
        </w:rPr>
        <w:t xml:space="preserve"> </w:t>
      </w:r>
      <w:r>
        <w:rPr>
          <w:color w:val="211D1E"/>
        </w:rPr>
        <w:t>2042.</w:t>
      </w:r>
    </w:p>
    <w:p w14:paraId="100ED3F2" w14:textId="77777777" w:rsidR="006679D9" w:rsidRDefault="006679D9">
      <w:pPr>
        <w:pStyle w:val="BodyText"/>
        <w:rPr>
          <w:sz w:val="24"/>
        </w:rPr>
      </w:pPr>
    </w:p>
    <w:p w14:paraId="23E595DA" w14:textId="77777777" w:rsidR="006679D9" w:rsidRDefault="006679D9">
      <w:pPr>
        <w:pStyle w:val="BodyText"/>
        <w:rPr>
          <w:sz w:val="24"/>
        </w:rPr>
      </w:pPr>
    </w:p>
    <w:p w14:paraId="39B282BE" w14:textId="77777777" w:rsidR="006679D9" w:rsidRDefault="006801A9">
      <w:pPr>
        <w:spacing w:before="212"/>
        <w:ind w:left="119"/>
        <w:rPr>
          <w:sz w:val="18"/>
        </w:rPr>
      </w:pPr>
      <w:r>
        <w:rPr>
          <w:sz w:val="18"/>
        </w:rPr>
        <w:t>Citations</w:t>
      </w:r>
    </w:p>
    <w:p w14:paraId="104E95DB" w14:textId="77777777" w:rsidR="006679D9" w:rsidRDefault="006679D9">
      <w:pPr>
        <w:pStyle w:val="BodyText"/>
        <w:spacing w:before="6"/>
        <w:rPr>
          <w:sz w:val="24"/>
        </w:rPr>
      </w:pPr>
    </w:p>
    <w:p w14:paraId="31D7BC70" w14:textId="77777777" w:rsidR="006679D9" w:rsidRDefault="006801A9">
      <w:pPr>
        <w:pStyle w:val="ListParagraph"/>
        <w:numPr>
          <w:ilvl w:val="0"/>
          <w:numId w:val="1"/>
        </w:numPr>
        <w:tabs>
          <w:tab w:val="left" w:pos="838"/>
          <w:tab w:val="left" w:pos="840"/>
        </w:tabs>
        <w:spacing w:before="1"/>
        <w:ind w:right="217"/>
        <w:rPr>
          <w:sz w:val="18"/>
        </w:rPr>
      </w:pPr>
      <w:r>
        <w:rPr>
          <w:sz w:val="18"/>
        </w:rPr>
        <w:t>Rosenthal</w:t>
      </w:r>
      <w:r>
        <w:rPr>
          <w:spacing w:val="-3"/>
          <w:sz w:val="18"/>
        </w:rPr>
        <w:t xml:space="preserve"> </w:t>
      </w:r>
      <w:r>
        <w:rPr>
          <w:sz w:val="18"/>
        </w:rPr>
        <w:t>E.</w:t>
      </w:r>
      <w:r>
        <w:rPr>
          <w:spacing w:val="-3"/>
          <w:sz w:val="18"/>
        </w:rPr>
        <w:t xml:space="preserve"> </w:t>
      </w:r>
      <w:r>
        <w:rPr>
          <w:sz w:val="18"/>
        </w:rPr>
        <w:t>The</w:t>
      </w:r>
      <w:r>
        <w:rPr>
          <w:spacing w:val="-3"/>
          <w:sz w:val="18"/>
        </w:rPr>
        <w:t xml:space="preserve"> </w:t>
      </w:r>
      <w:r>
        <w:rPr>
          <w:sz w:val="18"/>
        </w:rPr>
        <w:t>right</w:t>
      </w:r>
      <w:r>
        <w:rPr>
          <w:spacing w:val="-3"/>
          <w:sz w:val="18"/>
        </w:rPr>
        <w:t xml:space="preserve"> </w:t>
      </w:r>
      <w:r>
        <w:rPr>
          <w:sz w:val="18"/>
        </w:rPr>
        <w:t>of</w:t>
      </w:r>
      <w:r>
        <w:rPr>
          <w:spacing w:val="-3"/>
          <w:sz w:val="18"/>
        </w:rPr>
        <w:t xml:space="preserve"> </w:t>
      </w:r>
      <w:r>
        <w:rPr>
          <w:sz w:val="18"/>
        </w:rPr>
        <w:t>all</w:t>
      </w:r>
      <w:r>
        <w:rPr>
          <w:spacing w:val="-2"/>
          <w:sz w:val="18"/>
        </w:rPr>
        <w:t xml:space="preserve"> </w:t>
      </w:r>
      <w:r>
        <w:rPr>
          <w:sz w:val="18"/>
        </w:rPr>
        <w:t>children</w:t>
      </w:r>
      <w:r>
        <w:rPr>
          <w:spacing w:val="-4"/>
          <w:sz w:val="18"/>
        </w:rPr>
        <w:t xml:space="preserve"> </w:t>
      </w:r>
      <w:r>
        <w:rPr>
          <w:sz w:val="18"/>
        </w:rPr>
        <w:t>to</w:t>
      </w:r>
      <w:r>
        <w:rPr>
          <w:spacing w:val="-4"/>
          <w:sz w:val="18"/>
        </w:rPr>
        <w:t xml:space="preserve"> </w:t>
      </w:r>
      <w:r>
        <w:rPr>
          <w:sz w:val="18"/>
        </w:rPr>
        <w:t>grow</w:t>
      </w:r>
      <w:r>
        <w:rPr>
          <w:spacing w:val="-4"/>
          <w:sz w:val="18"/>
        </w:rPr>
        <w:t xml:space="preserve"> </w:t>
      </w:r>
      <w:r>
        <w:rPr>
          <w:sz w:val="18"/>
        </w:rPr>
        <w:t>up</w:t>
      </w:r>
      <w:r>
        <w:rPr>
          <w:spacing w:val="-4"/>
          <w:sz w:val="18"/>
        </w:rPr>
        <w:t xml:space="preserve"> </w:t>
      </w:r>
      <w:r>
        <w:rPr>
          <w:sz w:val="18"/>
        </w:rPr>
        <w:t>in</w:t>
      </w:r>
      <w:r>
        <w:rPr>
          <w:spacing w:val="-3"/>
          <w:sz w:val="18"/>
        </w:rPr>
        <w:t xml:space="preserve"> </w:t>
      </w:r>
      <w:r>
        <w:rPr>
          <w:sz w:val="18"/>
        </w:rPr>
        <w:t>a</w:t>
      </w:r>
      <w:r>
        <w:rPr>
          <w:spacing w:val="-3"/>
          <w:sz w:val="18"/>
        </w:rPr>
        <w:t xml:space="preserve"> </w:t>
      </w:r>
      <w:r>
        <w:rPr>
          <w:sz w:val="18"/>
        </w:rPr>
        <w:t>family</w:t>
      </w:r>
      <w:r>
        <w:rPr>
          <w:spacing w:val="-4"/>
          <w:sz w:val="18"/>
        </w:rPr>
        <w:t xml:space="preserve"> </w:t>
      </w:r>
      <w:r>
        <w:rPr>
          <w:sz w:val="18"/>
        </w:rPr>
        <w:t>under</w:t>
      </w:r>
      <w:r>
        <w:rPr>
          <w:spacing w:val="-3"/>
          <w:sz w:val="18"/>
        </w:rPr>
        <w:t xml:space="preserve"> </w:t>
      </w:r>
      <w:r>
        <w:rPr>
          <w:sz w:val="18"/>
        </w:rPr>
        <w:t>international</w:t>
      </w:r>
      <w:r>
        <w:rPr>
          <w:spacing w:val="-3"/>
          <w:sz w:val="18"/>
        </w:rPr>
        <w:t xml:space="preserve"> </w:t>
      </w:r>
      <w:r>
        <w:rPr>
          <w:sz w:val="18"/>
        </w:rPr>
        <w:t>law:</w:t>
      </w:r>
      <w:r>
        <w:rPr>
          <w:spacing w:val="-2"/>
          <w:sz w:val="18"/>
        </w:rPr>
        <w:t xml:space="preserve"> </w:t>
      </w:r>
      <w:r>
        <w:rPr>
          <w:sz w:val="18"/>
        </w:rPr>
        <w:t>implications</w:t>
      </w:r>
      <w:r>
        <w:rPr>
          <w:spacing w:val="-3"/>
          <w:sz w:val="18"/>
        </w:rPr>
        <w:t xml:space="preserve"> </w:t>
      </w:r>
      <w:r>
        <w:rPr>
          <w:sz w:val="18"/>
        </w:rPr>
        <w:t>for</w:t>
      </w:r>
      <w:r>
        <w:rPr>
          <w:spacing w:val="-3"/>
          <w:sz w:val="18"/>
        </w:rPr>
        <w:t xml:space="preserve"> </w:t>
      </w:r>
      <w:r>
        <w:rPr>
          <w:sz w:val="18"/>
        </w:rPr>
        <w:t>placement</w:t>
      </w:r>
      <w:r>
        <w:rPr>
          <w:spacing w:val="-3"/>
          <w:sz w:val="18"/>
        </w:rPr>
        <w:t xml:space="preserve"> </w:t>
      </w:r>
      <w:r>
        <w:rPr>
          <w:sz w:val="18"/>
        </w:rPr>
        <w:t>in</w:t>
      </w:r>
      <w:r>
        <w:rPr>
          <w:spacing w:val="-4"/>
          <w:sz w:val="18"/>
        </w:rPr>
        <w:t xml:space="preserve"> </w:t>
      </w:r>
      <w:r>
        <w:rPr>
          <w:sz w:val="18"/>
        </w:rPr>
        <w:t>orphanages,</w:t>
      </w:r>
      <w:r>
        <w:rPr>
          <w:spacing w:val="-2"/>
          <w:sz w:val="18"/>
        </w:rPr>
        <w:t xml:space="preserve"> </w:t>
      </w:r>
      <w:r>
        <w:rPr>
          <w:sz w:val="18"/>
        </w:rPr>
        <w:t>residential care, and group homes</w:t>
      </w:r>
      <w:proofErr w:type="gramStart"/>
      <w:r>
        <w:rPr>
          <w:sz w:val="18"/>
        </w:rPr>
        <w:t>. .</w:t>
      </w:r>
      <w:proofErr w:type="gramEnd"/>
      <w:r>
        <w:rPr>
          <w:sz w:val="18"/>
        </w:rPr>
        <w:t xml:space="preserve"> </w:t>
      </w:r>
      <w:r>
        <w:rPr>
          <w:i/>
          <w:sz w:val="18"/>
        </w:rPr>
        <w:t xml:space="preserve">Buffalo Human Rights Law Review </w:t>
      </w:r>
      <w:r>
        <w:rPr>
          <w:sz w:val="18"/>
        </w:rPr>
        <w:t>2019;25</w:t>
      </w:r>
      <w:r>
        <w:rPr>
          <w:spacing w:val="24"/>
          <w:sz w:val="18"/>
        </w:rPr>
        <w:t xml:space="preserve"> </w:t>
      </w:r>
      <w:r>
        <w:rPr>
          <w:sz w:val="18"/>
        </w:rPr>
        <w:t>65-137.</w:t>
      </w:r>
    </w:p>
    <w:p w14:paraId="3C64F246" w14:textId="77777777" w:rsidR="006679D9" w:rsidRDefault="006801A9">
      <w:pPr>
        <w:pStyle w:val="ListParagraph"/>
        <w:numPr>
          <w:ilvl w:val="0"/>
          <w:numId w:val="1"/>
        </w:numPr>
        <w:tabs>
          <w:tab w:val="left" w:pos="838"/>
          <w:tab w:val="left" w:pos="840"/>
        </w:tabs>
        <w:ind w:right="703"/>
        <w:rPr>
          <w:sz w:val="18"/>
        </w:rPr>
      </w:pPr>
      <w:r>
        <w:rPr>
          <w:sz w:val="18"/>
        </w:rPr>
        <w:t xml:space="preserve">van </w:t>
      </w:r>
      <w:proofErr w:type="spellStart"/>
      <w:r>
        <w:rPr>
          <w:sz w:val="18"/>
        </w:rPr>
        <w:t>IJzendoorn</w:t>
      </w:r>
      <w:proofErr w:type="spellEnd"/>
      <w:r>
        <w:rPr>
          <w:sz w:val="18"/>
        </w:rPr>
        <w:t xml:space="preserve"> MH, </w:t>
      </w:r>
      <w:proofErr w:type="spellStart"/>
      <w:r>
        <w:rPr>
          <w:sz w:val="18"/>
        </w:rPr>
        <w:t>Bakermans-Kranenburg</w:t>
      </w:r>
      <w:proofErr w:type="spellEnd"/>
      <w:r>
        <w:rPr>
          <w:sz w:val="18"/>
        </w:rPr>
        <w:t xml:space="preserve"> MJ, </w:t>
      </w:r>
      <w:proofErr w:type="spellStart"/>
      <w:r>
        <w:rPr>
          <w:sz w:val="18"/>
        </w:rPr>
        <w:t>Duschinsky</w:t>
      </w:r>
      <w:proofErr w:type="spellEnd"/>
      <w:r>
        <w:rPr>
          <w:sz w:val="18"/>
        </w:rPr>
        <w:t xml:space="preserve"> R, et al. </w:t>
      </w:r>
      <w:proofErr w:type="spellStart"/>
      <w:r>
        <w:rPr>
          <w:sz w:val="18"/>
        </w:rPr>
        <w:t>Institutionalisation</w:t>
      </w:r>
      <w:proofErr w:type="spellEnd"/>
      <w:r>
        <w:rPr>
          <w:sz w:val="18"/>
        </w:rPr>
        <w:t xml:space="preserve"> and </w:t>
      </w:r>
      <w:proofErr w:type="spellStart"/>
      <w:r>
        <w:rPr>
          <w:sz w:val="18"/>
        </w:rPr>
        <w:t>deinstitutionalisation</w:t>
      </w:r>
      <w:proofErr w:type="spellEnd"/>
      <w:r>
        <w:rPr>
          <w:sz w:val="18"/>
        </w:rPr>
        <w:t xml:space="preserve"> of children 1: a systematic</w:t>
      </w:r>
      <w:r>
        <w:rPr>
          <w:spacing w:val="-4"/>
          <w:sz w:val="18"/>
        </w:rPr>
        <w:t xml:space="preserve"> </w:t>
      </w:r>
      <w:r>
        <w:rPr>
          <w:sz w:val="18"/>
        </w:rPr>
        <w:t>and</w:t>
      </w:r>
      <w:r>
        <w:rPr>
          <w:spacing w:val="-3"/>
          <w:sz w:val="18"/>
        </w:rPr>
        <w:t xml:space="preserve"> </w:t>
      </w:r>
      <w:r>
        <w:rPr>
          <w:sz w:val="18"/>
        </w:rPr>
        <w:t>integrative</w:t>
      </w:r>
      <w:r>
        <w:rPr>
          <w:spacing w:val="-4"/>
          <w:sz w:val="18"/>
        </w:rPr>
        <w:t xml:space="preserve"> </w:t>
      </w:r>
      <w:r>
        <w:rPr>
          <w:sz w:val="18"/>
        </w:rPr>
        <w:t>review</w:t>
      </w:r>
      <w:r>
        <w:rPr>
          <w:spacing w:val="-3"/>
          <w:sz w:val="18"/>
        </w:rPr>
        <w:t xml:space="preserve"> </w:t>
      </w:r>
      <w:r>
        <w:rPr>
          <w:sz w:val="18"/>
        </w:rPr>
        <w:t>of</w:t>
      </w:r>
      <w:r>
        <w:rPr>
          <w:spacing w:val="-3"/>
          <w:sz w:val="18"/>
        </w:rPr>
        <w:t xml:space="preserve"> </w:t>
      </w:r>
      <w:r>
        <w:rPr>
          <w:sz w:val="18"/>
        </w:rPr>
        <w:t>evidence</w:t>
      </w:r>
      <w:r>
        <w:rPr>
          <w:spacing w:val="-3"/>
          <w:sz w:val="18"/>
        </w:rPr>
        <w:t xml:space="preserve"> </w:t>
      </w:r>
      <w:r>
        <w:rPr>
          <w:sz w:val="18"/>
        </w:rPr>
        <w:t>regarding</w:t>
      </w:r>
      <w:r>
        <w:rPr>
          <w:spacing w:val="-4"/>
          <w:sz w:val="18"/>
        </w:rPr>
        <w:t xml:space="preserve"> </w:t>
      </w:r>
      <w:r>
        <w:rPr>
          <w:sz w:val="18"/>
        </w:rPr>
        <w:t>effects</w:t>
      </w:r>
      <w:r>
        <w:rPr>
          <w:spacing w:val="-2"/>
          <w:sz w:val="18"/>
        </w:rPr>
        <w:t xml:space="preserve"> </w:t>
      </w:r>
      <w:r>
        <w:rPr>
          <w:sz w:val="18"/>
        </w:rPr>
        <w:t>on</w:t>
      </w:r>
      <w:r>
        <w:rPr>
          <w:spacing w:val="-4"/>
          <w:sz w:val="18"/>
        </w:rPr>
        <w:t xml:space="preserve"> </w:t>
      </w:r>
      <w:r>
        <w:rPr>
          <w:sz w:val="18"/>
        </w:rPr>
        <w:t>development.</w:t>
      </w:r>
      <w:r>
        <w:rPr>
          <w:spacing w:val="-1"/>
          <w:sz w:val="18"/>
        </w:rPr>
        <w:t xml:space="preserve"> </w:t>
      </w:r>
      <w:r>
        <w:rPr>
          <w:i/>
          <w:sz w:val="18"/>
        </w:rPr>
        <w:t>Lancet</w:t>
      </w:r>
      <w:r>
        <w:rPr>
          <w:i/>
          <w:spacing w:val="-3"/>
          <w:sz w:val="18"/>
        </w:rPr>
        <w:t xml:space="preserve"> </w:t>
      </w:r>
      <w:r>
        <w:rPr>
          <w:i/>
          <w:sz w:val="18"/>
        </w:rPr>
        <w:t>Psychiatry.</w:t>
      </w:r>
      <w:r>
        <w:rPr>
          <w:i/>
          <w:spacing w:val="-2"/>
          <w:sz w:val="18"/>
        </w:rPr>
        <w:t xml:space="preserve"> </w:t>
      </w:r>
      <w:r>
        <w:rPr>
          <w:sz w:val="18"/>
        </w:rPr>
        <w:t>2020;7(8):703-720.</w:t>
      </w:r>
    </w:p>
    <w:p w14:paraId="07AF3C41" w14:textId="77777777" w:rsidR="006679D9" w:rsidRDefault="006801A9">
      <w:pPr>
        <w:pStyle w:val="ListParagraph"/>
        <w:numPr>
          <w:ilvl w:val="0"/>
          <w:numId w:val="1"/>
        </w:numPr>
        <w:tabs>
          <w:tab w:val="left" w:pos="838"/>
          <w:tab w:val="left" w:pos="840"/>
        </w:tabs>
        <w:ind w:right="138"/>
        <w:rPr>
          <w:sz w:val="18"/>
        </w:rPr>
      </w:pPr>
      <w:r>
        <w:rPr>
          <w:sz w:val="18"/>
        </w:rPr>
        <w:t xml:space="preserve">Goldman PS, </w:t>
      </w:r>
      <w:proofErr w:type="spellStart"/>
      <w:r>
        <w:rPr>
          <w:sz w:val="18"/>
        </w:rPr>
        <w:t>Bakermans-Kranenburg</w:t>
      </w:r>
      <w:proofErr w:type="spellEnd"/>
      <w:r>
        <w:rPr>
          <w:sz w:val="18"/>
        </w:rPr>
        <w:t xml:space="preserve"> MJ, Bradford B, et al. </w:t>
      </w:r>
      <w:proofErr w:type="spellStart"/>
      <w:r>
        <w:rPr>
          <w:sz w:val="18"/>
        </w:rPr>
        <w:t>Institutionalisation</w:t>
      </w:r>
      <w:proofErr w:type="spellEnd"/>
      <w:r>
        <w:rPr>
          <w:sz w:val="18"/>
        </w:rPr>
        <w:t xml:space="preserve"> and </w:t>
      </w:r>
      <w:proofErr w:type="spellStart"/>
      <w:r>
        <w:rPr>
          <w:sz w:val="18"/>
        </w:rPr>
        <w:t>deinstitutionalisation</w:t>
      </w:r>
      <w:proofErr w:type="spellEnd"/>
      <w:r>
        <w:rPr>
          <w:sz w:val="18"/>
        </w:rPr>
        <w:t xml:space="preserve"> of children 2: policy and practice recommendations for global, national, and local actors. </w:t>
      </w:r>
      <w:r>
        <w:rPr>
          <w:i/>
          <w:sz w:val="18"/>
        </w:rPr>
        <w:t xml:space="preserve">Lancet Child </w:t>
      </w:r>
      <w:proofErr w:type="spellStart"/>
      <w:r>
        <w:rPr>
          <w:i/>
          <w:sz w:val="18"/>
        </w:rPr>
        <w:t>Adolesc</w:t>
      </w:r>
      <w:proofErr w:type="spellEnd"/>
      <w:r>
        <w:rPr>
          <w:i/>
          <w:sz w:val="18"/>
        </w:rPr>
        <w:t xml:space="preserve"> Health.</w:t>
      </w:r>
      <w:r>
        <w:rPr>
          <w:i/>
          <w:spacing w:val="-22"/>
          <w:sz w:val="18"/>
        </w:rPr>
        <w:t xml:space="preserve"> </w:t>
      </w:r>
      <w:r>
        <w:rPr>
          <w:sz w:val="18"/>
        </w:rPr>
        <w:t>2020;4(8):606-633.</w:t>
      </w:r>
    </w:p>
    <w:p w14:paraId="68A72E67" w14:textId="77777777" w:rsidR="006679D9" w:rsidRDefault="006801A9">
      <w:pPr>
        <w:pStyle w:val="ListParagraph"/>
        <w:numPr>
          <w:ilvl w:val="0"/>
          <w:numId w:val="1"/>
        </w:numPr>
        <w:tabs>
          <w:tab w:val="left" w:pos="838"/>
          <w:tab w:val="left" w:pos="840"/>
        </w:tabs>
        <w:spacing w:before="1" w:line="207" w:lineRule="exact"/>
        <w:ind w:hanging="721"/>
        <w:rPr>
          <w:sz w:val="18"/>
        </w:rPr>
      </w:pPr>
      <w:r>
        <w:rPr>
          <w:sz w:val="18"/>
        </w:rPr>
        <w:t>Rosenthal</w:t>
      </w:r>
      <w:r>
        <w:rPr>
          <w:spacing w:val="-2"/>
          <w:sz w:val="18"/>
        </w:rPr>
        <w:t xml:space="preserve"> </w:t>
      </w:r>
      <w:r>
        <w:rPr>
          <w:sz w:val="18"/>
        </w:rPr>
        <w:t>E,</w:t>
      </w:r>
      <w:r>
        <w:rPr>
          <w:spacing w:val="-2"/>
          <w:sz w:val="18"/>
        </w:rPr>
        <w:t xml:space="preserve"> </w:t>
      </w:r>
      <w:proofErr w:type="spellStart"/>
      <w:r>
        <w:rPr>
          <w:sz w:val="18"/>
        </w:rPr>
        <w:t>Milovanocic</w:t>
      </w:r>
      <w:proofErr w:type="spellEnd"/>
      <w:r>
        <w:rPr>
          <w:spacing w:val="-1"/>
          <w:sz w:val="18"/>
        </w:rPr>
        <w:t xml:space="preserve"> </w:t>
      </w:r>
      <w:r>
        <w:rPr>
          <w:sz w:val="18"/>
        </w:rPr>
        <w:t>DC,</w:t>
      </w:r>
      <w:r>
        <w:rPr>
          <w:spacing w:val="-2"/>
          <w:sz w:val="18"/>
        </w:rPr>
        <w:t xml:space="preserve"> </w:t>
      </w:r>
      <w:r>
        <w:rPr>
          <w:sz w:val="18"/>
        </w:rPr>
        <w:t>Ahern</w:t>
      </w:r>
      <w:r>
        <w:rPr>
          <w:spacing w:val="-2"/>
          <w:sz w:val="18"/>
        </w:rPr>
        <w:t xml:space="preserve"> </w:t>
      </w:r>
      <w:r>
        <w:rPr>
          <w:sz w:val="18"/>
        </w:rPr>
        <w:t>L,</w:t>
      </w:r>
      <w:r>
        <w:rPr>
          <w:spacing w:val="-2"/>
          <w:sz w:val="18"/>
        </w:rPr>
        <w:t xml:space="preserve"> </w:t>
      </w:r>
      <w:r>
        <w:rPr>
          <w:sz w:val="18"/>
        </w:rPr>
        <w:t>et</w:t>
      </w:r>
      <w:r>
        <w:rPr>
          <w:spacing w:val="-1"/>
          <w:sz w:val="18"/>
        </w:rPr>
        <w:t xml:space="preserve"> </w:t>
      </w:r>
      <w:r>
        <w:rPr>
          <w:sz w:val="18"/>
        </w:rPr>
        <w:t>al.</w:t>
      </w:r>
      <w:r>
        <w:rPr>
          <w:spacing w:val="-3"/>
          <w:sz w:val="18"/>
        </w:rPr>
        <w:t xml:space="preserve"> </w:t>
      </w:r>
      <w:r>
        <w:rPr>
          <w:i/>
          <w:sz w:val="18"/>
        </w:rPr>
        <w:t>A</w:t>
      </w:r>
      <w:r>
        <w:rPr>
          <w:i/>
          <w:spacing w:val="-3"/>
          <w:sz w:val="18"/>
        </w:rPr>
        <w:t xml:space="preserve"> </w:t>
      </w:r>
      <w:r>
        <w:rPr>
          <w:i/>
          <w:sz w:val="18"/>
        </w:rPr>
        <w:t>Dead</w:t>
      </w:r>
      <w:r>
        <w:rPr>
          <w:i/>
          <w:spacing w:val="-2"/>
          <w:sz w:val="18"/>
        </w:rPr>
        <w:t xml:space="preserve"> </w:t>
      </w:r>
      <w:r>
        <w:rPr>
          <w:i/>
          <w:sz w:val="18"/>
        </w:rPr>
        <w:t>End</w:t>
      </w:r>
      <w:r>
        <w:rPr>
          <w:i/>
          <w:spacing w:val="-3"/>
          <w:sz w:val="18"/>
        </w:rPr>
        <w:t xml:space="preserve"> </w:t>
      </w:r>
      <w:r>
        <w:rPr>
          <w:i/>
          <w:sz w:val="18"/>
        </w:rPr>
        <w:t>for</w:t>
      </w:r>
      <w:r>
        <w:rPr>
          <w:i/>
          <w:spacing w:val="-1"/>
          <w:sz w:val="18"/>
        </w:rPr>
        <w:t xml:space="preserve"> </w:t>
      </w:r>
      <w:r>
        <w:rPr>
          <w:i/>
          <w:sz w:val="18"/>
        </w:rPr>
        <w:t>Children:</w:t>
      </w:r>
      <w:r>
        <w:rPr>
          <w:i/>
          <w:spacing w:val="-2"/>
          <w:sz w:val="18"/>
        </w:rPr>
        <w:t xml:space="preserve"> </w:t>
      </w:r>
      <w:r>
        <w:rPr>
          <w:i/>
          <w:sz w:val="18"/>
        </w:rPr>
        <w:t>Bulgaria’s</w:t>
      </w:r>
      <w:r>
        <w:rPr>
          <w:i/>
          <w:spacing w:val="-1"/>
          <w:sz w:val="18"/>
        </w:rPr>
        <w:t xml:space="preserve"> </w:t>
      </w:r>
      <w:r>
        <w:rPr>
          <w:i/>
          <w:sz w:val="18"/>
        </w:rPr>
        <w:t>Group</w:t>
      </w:r>
      <w:r>
        <w:rPr>
          <w:i/>
          <w:spacing w:val="-3"/>
          <w:sz w:val="18"/>
        </w:rPr>
        <w:t xml:space="preserve"> </w:t>
      </w:r>
      <w:r>
        <w:rPr>
          <w:i/>
          <w:sz w:val="18"/>
        </w:rPr>
        <w:t>Homes.</w:t>
      </w:r>
      <w:r>
        <w:rPr>
          <w:i/>
          <w:spacing w:val="-1"/>
          <w:sz w:val="18"/>
        </w:rPr>
        <w:t xml:space="preserve"> </w:t>
      </w:r>
      <w:r>
        <w:rPr>
          <w:sz w:val="18"/>
        </w:rPr>
        <w:t>Washington,</w:t>
      </w:r>
      <w:r>
        <w:rPr>
          <w:spacing w:val="-2"/>
          <w:sz w:val="18"/>
        </w:rPr>
        <w:t xml:space="preserve"> </w:t>
      </w:r>
      <w:r>
        <w:rPr>
          <w:sz w:val="18"/>
        </w:rPr>
        <w:t>DC2019.</w:t>
      </w:r>
    </w:p>
    <w:p w14:paraId="70AC065F" w14:textId="77777777" w:rsidR="006679D9" w:rsidRDefault="006801A9">
      <w:pPr>
        <w:pStyle w:val="ListParagraph"/>
        <w:numPr>
          <w:ilvl w:val="0"/>
          <w:numId w:val="1"/>
        </w:numPr>
        <w:tabs>
          <w:tab w:val="left" w:pos="838"/>
          <w:tab w:val="left" w:pos="840"/>
        </w:tabs>
        <w:spacing w:line="206" w:lineRule="exact"/>
        <w:ind w:hanging="721"/>
        <w:rPr>
          <w:sz w:val="18"/>
        </w:rPr>
      </w:pPr>
      <w:r>
        <w:rPr>
          <w:sz w:val="18"/>
        </w:rPr>
        <w:t xml:space="preserve">Kaufman J. A child's right to family. </w:t>
      </w:r>
      <w:r>
        <w:rPr>
          <w:i/>
          <w:sz w:val="18"/>
        </w:rPr>
        <w:t>Lancet Psychiatry.</w:t>
      </w:r>
      <w:r>
        <w:rPr>
          <w:i/>
          <w:spacing w:val="-15"/>
          <w:sz w:val="18"/>
        </w:rPr>
        <w:t xml:space="preserve"> </w:t>
      </w:r>
      <w:r>
        <w:rPr>
          <w:sz w:val="18"/>
        </w:rPr>
        <w:t>2020;7(8):652-653.</w:t>
      </w:r>
    </w:p>
    <w:p w14:paraId="127D6C5E" w14:textId="77777777" w:rsidR="006679D9" w:rsidRDefault="006801A9">
      <w:pPr>
        <w:pStyle w:val="ListParagraph"/>
        <w:numPr>
          <w:ilvl w:val="0"/>
          <w:numId w:val="1"/>
        </w:numPr>
        <w:tabs>
          <w:tab w:val="left" w:pos="838"/>
          <w:tab w:val="left" w:pos="840"/>
        </w:tabs>
        <w:ind w:right="385"/>
        <w:rPr>
          <w:sz w:val="18"/>
        </w:rPr>
      </w:pPr>
      <w:r>
        <w:rPr>
          <w:sz w:val="18"/>
        </w:rPr>
        <w:t xml:space="preserve">van </w:t>
      </w:r>
      <w:proofErr w:type="spellStart"/>
      <w:r>
        <w:rPr>
          <w:sz w:val="18"/>
        </w:rPr>
        <w:t>IJzendoorn</w:t>
      </w:r>
      <w:proofErr w:type="spellEnd"/>
      <w:r>
        <w:rPr>
          <w:sz w:val="18"/>
        </w:rPr>
        <w:t xml:space="preserve"> MH, </w:t>
      </w:r>
      <w:proofErr w:type="spellStart"/>
      <w:r>
        <w:rPr>
          <w:sz w:val="18"/>
        </w:rPr>
        <w:t>Bakermans-Kranenburg</w:t>
      </w:r>
      <w:proofErr w:type="spellEnd"/>
      <w:r>
        <w:rPr>
          <w:sz w:val="18"/>
        </w:rPr>
        <w:t xml:space="preserve"> M. ‘Tear down your institutions’. Empirical and evolutionary perspectives on institutional care in SOS Children’s Villages</w:t>
      </w:r>
      <w:proofErr w:type="gramStart"/>
      <w:r>
        <w:rPr>
          <w:sz w:val="18"/>
        </w:rPr>
        <w:t>. .</w:t>
      </w:r>
      <w:proofErr w:type="gramEnd"/>
      <w:r>
        <w:rPr>
          <w:sz w:val="18"/>
        </w:rPr>
        <w:t xml:space="preserve"> </w:t>
      </w:r>
      <w:r>
        <w:rPr>
          <w:i/>
          <w:sz w:val="18"/>
        </w:rPr>
        <w:t>Retrieved from:</w:t>
      </w:r>
      <w:r>
        <w:rPr>
          <w:i/>
          <w:color w:val="0563C1"/>
          <w:sz w:val="18"/>
        </w:rPr>
        <w:t xml:space="preserve"> </w:t>
      </w:r>
      <w:r>
        <w:rPr>
          <w:i/>
          <w:color w:val="0563C1"/>
          <w:sz w:val="18"/>
          <w:u w:val="single" w:color="0563C1"/>
        </w:rPr>
        <w:t>https://psyarxivcom/ye7jh/</w:t>
      </w:r>
      <w:r>
        <w:rPr>
          <w:i/>
          <w:sz w:val="18"/>
        </w:rPr>
        <w:t>.</w:t>
      </w:r>
      <w:r>
        <w:rPr>
          <w:i/>
          <w:spacing w:val="-15"/>
          <w:sz w:val="18"/>
        </w:rPr>
        <w:t xml:space="preserve"> </w:t>
      </w:r>
      <w:r>
        <w:rPr>
          <w:sz w:val="18"/>
        </w:rPr>
        <w:t>preprint.</w:t>
      </w:r>
    </w:p>
    <w:p w14:paraId="70B2FD61" w14:textId="77777777" w:rsidR="006679D9" w:rsidRDefault="006801A9">
      <w:pPr>
        <w:pStyle w:val="ListParagraph"/>
        <w:numPr>
          <w:ilvl w:val="0"/>
          <w:numId w:val="1"/>
        </w:numPr>
        <w:tabs>
          <w:tab w:val="left" w:pos="838"/>
          <w:tab w:val="left" w:pos="840"/>
        </w:tabs>
        <w:ind w:right="294"/>
        <w:rPr>
          <w:sz w:val="18"/>
        </w:rPr>
      </w:pPr>
      <w:r>
        <w:rPr>
          <w:sz w:val="18"/>
        </w:rPr>
        <w:t xml:space="preserve">ACF. Adoption &amp; Foster Care Statistics. U.S. Department of Health &amp; Human Services. </w:t>
      </w:r>
      <w:proofErr w:type="spellStart"/>
      <w:r>
        <w:rPr>
          <w:sz w:val="18"/>
        </w:rPr>
        <w:t>Admninistration</w:t>
      </w:r>
      <w:proofErr w:type="spellEnd"/>
      <w:r>
        <w:rPr>
          <w:sz w:val="18"/>
        </w:rPr>
        <w:t xml:space="preserve"> for </w:t>
      </w:r>
      <w:proofErr w:type="spellStart"/>
      <w:r>
        <w:rPr>
          <w:sz w:val="18"/>
        </w:rPr>
        <w:t>ChIldren</w:t>
      </w:r>
      <w:proofErr w:type="spellEnd"/>
      <w:r>
        <w:rPr>
          <w:sz w:val="18"/>
        </w:rPr>
        <w:t xml:space="preserve"> and Families Web site.</w:t>
      </w:r>
      <w:r>
        <w:rPr>
          <w:color w:val="0563C1"/>
          <w:sz w:val="18"/>
        </w:rPr>
        <w:t xml:space="preserve"> </w:t>
      </w:r>
      <w:r>
        <w:rPr>
          <w:color w:val="0563C1"/>
          <w:sz w:val="18"/>
          <w:u w:val="single" w:color="0563C1"/>
        </w:rPr>
        <w:t>https://</w:t>
      </w:r>
      <w:hyperlink r:id="rId5">
        <w:r>
          <w:rPr>
            <w:color w:val="0563C1"/>
            <w:sz w:val="18"/>
            <w:u w:val="single" w:color="0563C1"/>
          </w:rPr>
          <w:t>www.acf.hhs.gov/cb/research-data-technology/statistics-research/afcars</w:t>
        </w:r>
        <w:r>
          <w:rPr>
            <w:sz w:val="18"/>
          </w:rPr>
          <w:t xml:space="preserve">. </w:t>
        </w:r>
      </w:hyperlink>
      <w:r>
        <w:rPr>
          <w:sz w:val="18"/>
        </w:rPr>
        <w:t>Published 2020.</w:t>
      </w:r>
      <w:r>
        <w:rPr>
          <w:spacing w:val="-11"/>
          <w:sz w:val="18"/>
        </w:rPr>
        <w:t xml:space="preserve"> </w:t>
      </w:r>
      <w:r>
        <w:rPr>
          <w:sz w:val="18"/>
        </w:rPr>
        <w:t>Accessed2021.</w:t>
      </w:r>
    </w:p>
    <w:p w14:paraId="1DAF6B06" w14:textId="77777777" w:rsidR="006679D9" w:rsidRDefault="006679D9">
      <w:pPr>
        <w:pStyle w:val="BodyText"/>
        <w:rPr>
          <w:sz w:val="20"/>
        </w:rPr>
      </w:pPr>
    </w:p>
    <w:p w14:paraId="6DA99786" w14:textId="77777777" w:rsidR="006679D9" w:rsidRDefault="006679D9">
      <w:pPr>
        <w:pStyle w:val="BodyText"/>
        <w:rPr>
          <w:sz w:val="20"/>
        </w:rPr>
      </w:pPr>
    </w:p>
    <w:p w14:paraId="1E26E16C" w14:textId="77777777" w:rsidR="006679D9" w:rsidRDefault="006679D9">
      <w:pPr>
        <w:pStyle w:val="BodyText"/>
        <w:spacing w:before="9"/>
        <w:rPr>
          <w:sz w:val="23"/>
        </w:rPr>
      </w:pPr>
    </w:p>
    <w:p w14:paraId="54A2BBBB" w14:textId="77777777" w:rsidR="006679D9" w:rsidRDefault="006679D9">
      <w:pPr>
        <w:rPr>
          <w:sz w:val="23"/>
        </w:rPr>
        <w:sectPr w:rsidR="006679D9">
          <w:pgSz w:w="12240" w:h="15840"/>
          <w:pgMar w:top="660" w:right="600" w:bottom="280" w:left="620" w:header="720" w:footer="720" w:gutter="0"/>
          <w:cols w:space="720"/>
        </w:sectPr>
      </w:pPr>
    </w:p>
    <w:p w14:paraId="0208EA6D" w14:textId="77777777" w:rsidR="006679D9" w:rsidRDefault="006801A9">
      <w:pPr>
        <w:spacing w:before="94" w:line="207" w:lineRule="exact"/>
        <w:ind w:left="224"/>
        <w:rPr>
          <w:sz w:val="18"/>
        </w:rPr>
      </w:pPr>
      <w:r>
        <w:rPr>
          <w:sz w:val="18"/>
        </w:rPr>
        <w:t>Joan Kaufman, PhD</w:t>
      </w:r>
    </w:p>
    <w:p w14:paraId="2B1603E2" w14:textId="77777777" w:rsidR="006679D9" w:rsidRDefault="006801A9">
      <w:pPr>
        <w:ind w:left="224" w:right="22"/>
        <w:rPr>
          <w:sz w:val="18"/>
        </w:rPr>
      </w:pPr>
      <w:r>
        <w:rPr>
          <w:sz w:val="18"/>
        </w:rPr>
        <w:t>Director of Research, Center for Child and Family Traumatic Stress Kennedy Krieger Institute, Baltimore, MD</w:t>
      </w:r>
    </w:p>
    <w:p w14:paraId="069FB5FF" w14:textId="77777777" w:rsidR="006679D9" w:rsidRDefault="006801A9">
      <w:pPr>
        <w:spacing w:line="206" w:lineRule="exact"/>
        <w:ind w:left="224"/>
        <w:rPr>
          <w:sz w:val="18"/>
        </w:rPr>
      </w:pPr>
      <w:r>
        <w:rPr>
          <w:sz w:val="18"/>
        </w:rPr>
        <w:t>Professor of Psychiatry, Johns Hopkins School of Medicine</w:t>
      </w:r>
    </w:p>
    <w:p w14:paraId="3815A74B" w14:textId="77777777" w:rsidR="006679D9" w:rsidRDefault="006679D9">
      <w:pPr>
        <w:pStyle w:val="BodyText"/>
        <w:spacing w:before="10"/>
        <w:rPr>
          <w:sz w:val="17"/>
        </w:rPr>
      </w:pPr>
    </w:p>
    <w:p w14:paraId="31BFAFCE" w14:textId="77777777" w:rsidR="006679D9" w:rsidRDefault="006801A9">
      <w:pPr>
        <w:spacing w:line="244" w:lineRule="auto"/>
        <w:ind w:left="224" w:right="2456"/>
        <w:rPr>
          <w:sz w:val="18"/>
        </w:rPr>
      </w:pPr>
      <w:r>
        <w:rPr>
          <w:sz w:val="18"/>
        </w:rPr>
        <w:t xml:space="preserve">Marian J. </w:t>
      </w:r>
      <w:proofErr w:type="spellStart"/>
      <w:r>
        <w:rPr>
          <w:sz w:val="18"/>
        </w:rPr>
        <w:t>Bakermans-Kranenburg</w:t>
      </w:r>
      <w:proofErr w:type="spellEnd"/>
      <w:r>
        <w:rPr>
          <w:sz w:val="18"/>
        </w:rPr>
        <w:t xml:space="preserve"> Clinical Child &amp; Family Studies</w:t>
      </w:r>
    </w:p>
    <w:p w14:paraId="21C83739" w14:textId="77777777" w:rsidR="006679D9" w:rsidRDefault="006801A9">
      <w:pPr>
        <w:ind w:left="224" w:right="1536"/>
        <w:rPr>
          <w:sz w:val="18"/>
        </w:rPr>
      </w:pPr>
      <w:r>
        <w:rPr>
          <w:sz w:val="18"/>
        </w:rPr>
        <w:t>Faculty of Behavioral and Movement Sciences Vrije Universiteit Amsterdam</w:t>
      </w:r>
    </w:p>
    <w:p w14:paraId="18FB40D4" w14:textId="77777777" w:rsidR="006679D9" w:rsidRDefault="006801A9">
      <w:pPr>
        <w:spacing w:line="206" w:lineRule="exact"/>
        <w:ind w:left="224"/>
        <w:rPr>
          <w:sz w:val="18"/>
        </w:rPr>
      </w:pPr>
      <w:r>
        <w:rPr>
          <w:sz w:val="18"/>
        </w:rPr>
        <w:t>The Netherlands</w:t>
      </w:r>
    </w:p>
    <w:p w14:paraId="79F2C48D" w14:textId="77777777" w:rsidR="006679D9" w:rsidRDefault="006801A9">
      <w:pPr>
        <w:spacing w:before="94" w:line="207" w:lineRule="exact"/>
        <w:ind w:left="224"/>
        <w:rPr>
          <w:sz w:val="18"/>
        </w:rPr>
      </w:pPr>
      <w:r>
        <w:br w:type="column"/>
      </w:r>
      <w:r>
        <w:rPr>
          <w:color w:val="212121"/>
          <w:sz w:val="18"/>
        </w:rPr>
        <w:t>Charles A. Nelson III, PhD</w:t>
      </w:r>
    </w:p>
    <w:p w14:paraId="716B569F" w14:textId="77777777" w:rsidR="006679D9" w:rsidRDefault="006801A9">
      <w:pPr>
        <w:ind w:left="224" w:right="2421"/>
        <w:rPr>
          <w:sz w:val="18"/>
        </w:rPr>
      </w:pPr>
      <w:r>
        <w:rPr>
          <w:color w:val="212121"/>
          <w:sz w:val="18"/>
        </w:rPr>
        <w:t>Professor of Pediatrics and Neuroscience Harvard Medical School</w:t>
      </w:r>
    </w:p>
    <w:p w14:paraId="3DE70647" w14:textId="77777777" w:rsidR="006679D9" w:rsidRDefault="006801A9">
      <w:pPr>
        <w:ind w:left="224" w:right="3731"/>
        <w:rPr>
          <w:sz w:val="18"/>
        </w:rPr>
      </w:pPr>
      <w:r>
        <w:rPr>
          <w:color w:val="212121"/>
          <w:sz w:val="18"/>
        </w:rPr>
        <w:t xml:space="preserve">Professor </w:t>
      </w:r>
      <w:proofErr w:type="gramStart"/>
      <w:r>
        <w:rPr>
          <w:color w:val="212121"/>
          <w:sz w:val="18"/>
        </w:rPr>
        <w:t>of</w:t>
      </w:r>
      <w:proofErr w:type="gramEnd"/>
      <w:r>
        <w:rPr>
          <w:color w:val="212121"/>
          <w:sz w:val="18"/>
        </w:rPr>
        <w:t xml:space="preserve"> Education Harvard University</w:t>
      </w:r>
    </w:p>
    <w:p w14:paraId="62E896A6" w14:textId="77777777" w:rsidR="006679D9" w:rsidRDefault="006801A9">
      <w:pPr>
        <w:spacing w:line="244" w:lineRule="auto"/>
        <w:ind w:left="404" w:right="2596" w:hanging="180"/>
        <w:rPr>
          <w:sz w:val="18"/>
        </w:rPr>
      </w:pPr>
      <w:r>
        <w:rPr>
          <w:color w:val="212121"/>
          <w:sz w:val="18"/>
        </w:rPr>
        <w:t>Richard David Scott Chair in Pediatric Developmental Medicine Research</w:t>
      </w:r>
    </w:p>
    <w:p w14:paraId="0FE85BBD" w14:textId="77777777" w:rsidR="006679D9" w:rsidRDefault="006801A9">
      <w:pPr>
        <w:spacing w:line="202" w:lineRule="exact"/>
        <w:ind w:left="224"/>
        <w:rPr>
          <w:sz w:val="18"/>
        </w:rPr>
      </w:pPr>
      <w:r>
        <w:rPr>
          <w:color w:val="212121"/>
          <w:sz w:val="18"/>
        </w:rPr>
        <w:t>Boston Children's Hospital</w:t>
      </w:r>
    </w:p>
    <w:p w14:paraId="601417AF" w14:textId="77777777" w:rsidR="006679D9" w:rsidRDefault="006679D9">
      <w:pPr>
        <w:pStyle w:val="BodyText"/>
        <w:spacing w:before="8"/>
        <w:rPr>
          <w:sz w:val="17"/>
        </w:rPr>
      </w:pPr>
    </w:p>
    <w:p w14:paraId="7DDD6CFC" w14:textId="77777777" w:rsidR="006679D9" w:rsidRDefault="006801A9">
      <w:pPr>
        <w:ind w:left="224" w:right="3468"/>
        <w:rPr>
          <w:sz w:val="18"/>
        </w:rPr>
      </w:pPr>
      <w:r>
        <w:rPr>
          <w:color w:val="212121"/>
          <w:sz w:val="18"/>
        </w:rPr>
        <w:t>Thomas G O'Connor, PhD Professor of Psychiatry University of Rochester</w:t>
      </w:r>
    </w:p>
    <w:p w14:paraId="32AB0CA3" w14:textId="77777777" w:rsidR="006679D9" w:rsidRDefault="006679D9">
      <w:pPr>
        <w:rPr>
          <w:sz w:val="18"/>
        </w:rPr>
        <w:sectPr w:rsidR="006679D9">
          <w:type w:val="continuous"/>
          <w:pgSz w:w="12240" w:h="15840"/>
          <w:pgMar w:top="680" w:right="600" w:bottom="280" w:left="620" w:header="720" w:footer="720" w:gutter="0"/>
          <w:cols w:num="2" w:space="720" w:equalWidth="0">
            <w:col w:w="5155" w:space="240"/>
            <w:col w:w="5625"/>
          </w:cols>
        </w:sectPr>
      </w:pPr>
    </w:p>
    <w:p w14:paraId="6710A440" w14:textId="77777777" w:rsidR="006679D9" w:rsidRDefault="006801A9">
      <w:pPr>
        <w:spacing w:before="79"/>
        <w:ind w:left="224" w:right="3023"/>
        <w:rPr>
          <w:sz w:val="18"/>
        </w:rPr>
      </w:pPr>
      <w:r>
        <w:rPr>
          <w:sz w:val="18"/>
        </w:rPr>
        <w:lastRenderedPageBreak/>
        <w:t>Richard P. Barth, PhD, MSW Professor and Chair,</w:t>
      </w:r>
    </w:p>
    <w:p w14:paraId="047A1FB1" w14:textId="77777777" w:rsidR="006679D9" w:rsidRDefault="006801A9">
      <w:pPr>
        <w:ind w:left="224" w:right="589"/>
        <w:rPr>
          <w:sz w:val="18"/>
        </w:rPr>
      </w:pPr>
      <w:r>
        <w:rPr>
          <w:sz w:val="18"/>
        </w:rPr>
        <w:t>Executive Committee of the Grand Challenges for Social Work University of Maryland School of Social Work</w:t>
      </w:r>
    </w:p>
    <w:p w14:paraId="5C1E871E" w14:textId="77777777" w:rsidR="006679D9" w:rsidRDefault="006679D9">
      <w:pPr>
        <w:pStyle w:val="BodyText"/>
        <w:spacing w:before="1"/>
        <w:rPr>
          <w:sz w:val="18"/>
        </w:rPr>
      </w:pPr>
    </w:p>
    <w:p w14:paraId="1A325E1F" w14:textId="77777777" w:rsidR="006679D9" w:rsidRDefault="006801A9">
      <w:pPr>
        <w:spacing w:before="1"/>
        <w:ind w:left="224" w:right="2774"/>
        <w:rPr>
          <w:sz w:val="18"/>
        </w:rPr>
      </w:pPr>
      <w:r>
        <w:rPr>
          <w:color w:val="212121"/>
          <w:sz w:val="18"/>
        </w:rPr>
        <w:t xml:space="preserve">Paul </w:t>
      </w:r>
      <w:proofErr w:type="spellStart"/>
      <w:r>
        <w:rPr>
          <w:color w:val="212121"/>
          <w:sz w:val="18"/>
        </w:rPr>
        <w:t>Brylske</w:t>
      </w:r>
      <w:proofErr w:type="spellEnd"/>
      <w:r>
        <w:rPr>
          <w:color w:val="212121"/>
          <w:sz w:val="18"/>
        </w:rPr>
        <w:t xml:space="preserve"> MSW, LCSW-C Director Therapeutic Foster Care Kennedy Krieger Institute</w:t>
      </w:r>
    </w:p>
    <w:p w14:paraId="19518509" w14:textId="77777777" w:rsidR="006679D9" w:rsidRDefault="006679D9">
      <w:pPr>
        <w:pStyle w:val="BodyText"/>
        <w:spacing w:before="9"/>
        <w:rPr>
          <w:sz w:val="17"/>
        </w:rPr>
      </w:pPr>
    </w:p>
    <w:p w14:paraId="67695F77" w14:textId="77777777" w:rsidR="006679D9" w:rsidRDefault="006801A9">
      <w:pPr>
        <w:ind w:left="224" w:right="2913"/>
        <w:rPr>
          <w:sz w:val="18"/>
        </w:rPr>
      </w:pPr>
      <w:r>
        <w:rPr>
          <w:color w:val="212121"/>
          <w:sz w:val="18"/>
        </w:rPr>
        <w:t>Dante Cicchetti, Ph.D. McKnight Presidential Chair. Institute of Child Development University of Minnesota</w:t>
      </w:r>
    </w:p>
    <w:p w14:paraId="50805715" w14:textId="77777777" w:rsidR="006679D9" w:rsidRDefault="006679D9">
      <w:pPr>
        <w:pStyle w:val="BodyText"/>
        <w:spacing w:before="1"/>
        <w:rPr>
          <w:sz w:val="18"/>
        </w:rPr>
      </w:pPr>
    </w:p>
    <w:p w14:paraId="6699AE52" w14:textId="77777777" w:rsidR="006679D9" w:rsidRDefault="006801A9">
      <w:pPr>
        <w:spacing w:before="1" w:line="207" w:lineRule="exact"/>
        <w:ind w:left="224"/>
        <w:rPr>
          <w:sz w:val="18"/>
        </w:rPr>
      </w:pPr>
      <w:r>
        <w:rPr>
          <w:sz w:val="18"/>
        </w:rPr>
        <w:t xml:space="preserve">Robbie </w:t>
      </w:r>
      <w:proofErr w:type="spellStart"/>
      <w:r>
        <w:rPr>
          <w:sz w:val="18"/>
        </w:rPr>
        <w:t>Duschinsky</w:t>
      </w:r>
      <w:proofErr w:type="spellEnd"/>
    </w:p>
    <w:p w14:paraId="30C17CFF" w14:textId="77777777" w:rsidR="006679D9" w:rsidRDefault="006801A9">
      <w:pPr>
        <w:ind w:left="224" w:right="3123"/>
        <w:rPr>
          <w:sz w:val="18"/>
        </w:rPr>
      </w:pPr>
      <w:r>
        <w:rPr>
          <w:sz w:val="18"/>
        </w:rPr>
        <w:t>School of Clinical Medicine University of Cambridge</w:t>
      </w:r>
    </w:p>
    <w:p w14:paraId="09E50A1F" w14:textId="77777777" w:rsidR="006679D9" w:rsidRDefault="006679D9">
      <w:pPr>
        <w:pStyle w:val="BodyText"/>
        <w:spacing w:before="9"/>
        <w:rPr>
          <w:sz w:val="17"/>
        </w:rPr>
      </w:pPr>
    </w:p>
    <w:p w14:paraId="32C205AE" w14:textId="77777777" w:rsidR="006679D9" w:rsidRDefault="006801A9">
      <w:pPr>
        <w:spacing w:line="207" w:lineRule="exact"/>
        <w:ind w:left="224"/>
        <w:rPr>
          <w:sz w:val="18"/>
        </w:rPr>
      </w:pPr>
      <w:r>
        <w:rPr>
          <w:color w:val="212121"/>
          <w:sz w:val="18"/>
        </w:rPr>
        <w:t>Philip A. Fisher,</w:t>
      </w:r>
      <w:r>
        <w:rPr>
          <w:color w:val="212121"/>
          <w:spacing w:val="-8"/>
          <w:sz w:val="18"/>
        </w:rPr>
        <w:t xml:space="preserve"> </w:t>
      </w:r>
      <w:r>
        <w:rPr>
          <w:color w:val="212121"/>
          <w:sz w:val="18"/>
        </w:rPr>
        <w:t>PhD</w:t>
      </w:r>
    </w:p>
    <w:p w14:paraId="5860A373" w14:textId="77777777" w:rsidR="006679D9" w:rsidRDefault="006801A9">
      <w:pPr>
        <w:spacing w:line="242" w:lineRule="auto"/>
        <w:ind w:left="224" w:right="1528"/>
        <w:rPr>
          <w:sz w:val="18"/>
        </w:rPr>
      </w:pPr>
      <w:r>
        <w:rPr>
          <w:sz w:val="18"/>
        </w:rPr>
        <w:t xml:space="preserve">Philip H. Knight Chair &amp; Professor of Psychology Director, Center for Translational </w:t>
      </w:r>
      <w:proofErr w:type="spellStart"/>
      <w:r>
        <w:rPr>
          <w:sz w:val="18"/>
        </w:rPr>
        <w:t>NeuroScience</w:t>
      </w:r>
      <w:proofErr w:type="spellEnd"/>
      <w:r>
        <w:rPr>
          <w:sz w:val="18"/>
        </w:rPr>
        <w:t xml:space="preserve"> </w:t>
      </w:r>
      <w:r>
        <w:rPr>
          <w:color w:val="212121"/>
          <w:sz w:val="18"/>
        </w:rPr>
        <w:t>University of</w:t>
      </w:r>
      <w:r>
        <w:rPr>
          <w:color w:val="212121"/>
          <w:spacing w:val="-4"/>
          <w:sz w:val="18"/>
        </w:rPr>
        <w:t xml:space="preserve"> </w:t>
      </w:r>
      <w:r>
        <w:rPr>
          <w:color w:val="212121"/>
          <w:sz w:val="18"/>
        </w:rPr>
        <w:t>Oregon</w:t>
      </w:r>
    </w:p>
    <w:p w14:paraId="0E6B584F" w14:textId="77777777" w:rsidR="006679D9" w:rsidRDefault="006679D9">
      <w:pPr>
        <w:pStyle w:val="BodyText"/>
        <w:spacing w:before="7"/>
        <w:rPr>
          <w:sz w:val="17"/>
        </w:rPr>
      </w:pPr>
    </w:p>
    <w:p w14:paraId="472786E5" w14:textId="77777777" w:rsidR="006679D9" w:rsidRDefault="006801A9">
      <w:pPr>
        <w:spacing w:before="1" w:line="207" w:lineRule="exact"/>
        <w:ind w:left="224"/>
        <w:rPr>
          <w:sz w:val="18"/>
        </w:rPr>
      </w:pPr>
      <w:r>
        <w:rPr>
          <w:color w:val="212121"/>
          <w:sz w:val="18"/>
        </w:rPr>
        <w:t>Nathan A. Fox, PhD</w:t>
      </w:r>
    </w:p>
    <w:p w14:paraId="526EE1DF" w14:textId="77777777" w:rsidR="006679D9" w:rsidRDefault="006801A9">
      <w:pPr>
        <w:ind w:left="224" w:right="2628"/>
        <w:rPr>
          <w:sz w:val="18"/>
        </w:rPr>
      </w:pPr>
      <w:r>
        <w:rPr>
          <w:color w:val="212121"/>
          <w:sz w:val="18"/>
        </w:rPr>
        <w:t>Distinguished University Professor University of Maryland</w:t>
      </w:r>
    </w:p>
    <w:p w14:paraId="02DC0A52" w14:textId="77777777" w:rsidR="006679D9" w:rsidRDefault="006801A9">
      <w:pPr>
        <w:spacing w:line="206" w:lineRule="exact"/>
        <w:ind w:left="224"/>
        <w:rPr>
          <w:sz w:val="18"/>
        </w:rPr>
      </w:pPr>
      <w:r>
        <w:rPr>
          <w:sz w:val="18"/>
        </w:rPr>
        <w:t>Megan Gunnar, PhD</w:t>
      </w:r>
    </w:p>
    <w:p w14:paraId="4E84AB41" w14:textId="77777777" w:rsidR="006679D9" w:rsidRDefault="006801A9">
      <w:pPr>
        <w:ind w:left="224" w:right="2913"/>
        <w:rPr>
          <w:sz w:val="18"/>
        </w:rPr>
      </w:pPr>
      <w:r>
        <w:rPr>
          <w:sz w:val="18"/>
        </w:rPr>
        <w:t>Institute of Child Development University of Minnesota</w:t>
      </w:r>
    </w:p>
    <w:p w14:paraId="52AAB0AF" w14:textId="77777777" w:rsidR="006679D9" w:rsidRDefault="006679D9">
      <w:pPr>
        <w:pStyle w:val="BodyText"/>
        <w:spacing w:before="2"/>
        <w:rPr>
          <w:sz w:val="18"/>
        </w:rPr>
      </w:pPr>
    </w:p>
    <w:p w14:paraId="794912C5" w14:textId="77777777" w:rsidR="006679D9" w:rsidRDefault="006801A9">
      <w:pPr>
        <w:spacing w:line="207" w:lineRule="exact"/>
        <w:ind w:left="224"/>
        <w:rPr>
          <w:sz w:val="18"/>
        </w:rPr>
      </w:pPr>
      <w:r>
        <w:rPr>
          <w:color w:val="212121"/>
          <w:sz w:val="18"/>
        </w:rPr>
        <w:t>Brenda Jones Harden, PhD</w:t>
      </w:r>
    </w:p>
    <w:p w14:paraId="036210AC" w14:textId="77777777" w:rsidR="006679D9" w:rsidRDefault="006801A9">
      <w:pPr>
        <w:ind w:left="224" w:right="1418"/>
        <w:rPr>
          <w:sz w:val="18"/>
        </w:rPr>
      </w:pPr>
      <w:r>
        <w:rPr>
          <w:color w:val="212121"/>
          <w:sz w:val="18"/>
        </w:rPr>
        <w:t>Alison Richman Professor of Children and Families University of Maryland School of Social Work</w:t>
      </w:r>
    </w:p>
    <w:p w14:paraId="642648C2" w14:textId="77777777" w:rsidR="006679D9" w:rsidRDefault="006679D9">
      <w:pPr>
        <w:pStyle w:val="BodyText"/>
        <w:spacing w:before="9"/>
        <w:rPr>
          <w:sz w:val="17"/>
        </w:rPr>
      </w:pPr>
    </w:p>
    <w:p w14:paraId="2BC2361C" w14:textId="77777777" w:rsidR="006679D9" w:rsidRDefault="006801A9">
      <w:pPr>
        <w:ind w:left="224" w:right="3353"/>
        <w:rPr>
          <w:sz w:val="18"/>
        </w:rPr>
      </w:pPr>
      <w:r>
        <w:rPr>
          <w:color w:val="212121"/>
          <w:sz w:val="18"/>
        </w:rPr>
        <w:t>John M. Leventhal, MD Professor of Pediatrics Yale School of Medicine</w:t>
      </w:r>
    </w:p>
    <w:p w14:paraId="54A29EC5" w14:textId="77777777" w:rsidR="006679D9" w:rsidRDefault="006679D9">
      <w:pPr>
        <w:pStyle w:val="BodyText"/>
        <w:spacing w:before="3"/>
        <w:rPr>
          <w:sz w:val="18"/>
        </w:rPr>
      </w:pPr>
    </w:p>
    <w:p w14:paraId="7DB1DA28" w14:textId="77777777" w:rsidR="006679D9" w:rsidRDefault="006801A9">
      <w:pPr>
        <w:spacing w:line="207" w:lineRule="exact"/>
        <w:ind w:left="224"/>
        <w:rPr>
          <w:sz w:val="18"/>
        </w:rPr>
      </w:pPr>
      <w:r>
        <w:rPr>
          <w:sz w:val="18"/>
        </w:rPr>
        <w:t>Linda Mayes, MD</w:t>
      </w:r>
    </w:p>
    <w:p w14:paraId="2B0B34A2" w14:textId="77777777" w:rsidR="006679D9" w:rsidRDefault="006801A9">
      <w:pPr>
        <w:ind w:left="224" w:right="-17"/>
        <w:rPr>
          <w:sz w:val="18"/>
        </w:rPr>
      </w:pPr>
      <w:r>
        <w:rPr>
          <w:sz w:val="18"/>
        </w:rPr>
        <w:t>Arnold Gesell Professor of Child Psychiatry, Pediatrics and Psychology Chair, Yale Child Study Center</w:t>
      </w:r>
    </w:p>
    <w:p w14:paraId="67EEE751" w14:textId="77777777" w:rsidR="006679D9" w:rsidRDefault="006679D9">
      <w:pPr>
        <w:pStyle w:val="BodyText"/>
        <w:spacing w:before="9"/>
        <w:rPr>
          <w:sz w:val="17"/>
        </w:rPr>
      </w:pPr>
    </w:p>
    <w:p w14:paraId="532CFEAB" w14:textId="77777777" w:rsidR="006679D9" w:rsidRDefault="006801A9">
      <w:pPr>
        <w:ind w:left="224" w:right="3413"/>
        <w:jc w:val="both"/>
        <w:rPr>
          <w:sz w:val="18"/>
        </w:rPr>
      </w:pPr>
      <w:r>
        <w:rPr>
          <w:sz w:val="18"/>
        </w:rPr>
        <w:t>Katie McLaughlin, PhD Professor of Psychology Harvard University</w:t>
      </w:r>
    </w:p>
    <w:p w14:paraId="0032C3B6" w14:textId="77777777" w:rsidR="006679D9" w:rsidRDefault="006801A9">
      <w:pPr>
        <w:pStyle w:val="BodyText"/>
        <w:spacing w:before="9"/>
        <w:rPr>
          <w:sz w:val="24"/>
        </w:rPr>
      </w:pPr>
      <w:r>
        <w:br w:type="column"/>
      </w:r>
    </w:p>
    <w:p w14:paraId="368ACB93" w14:textId="77777777" w:rsidR="006679D9" w:rsidRDefault="006801A9">
      <w:pPr>
        <w:ind w:left="178" w:right="3190"/>
        <w:rPr>
          <w:sz w:val="18"/>
        </w:rPr>
      </w:pPr>
      <w:r>
        <w:rPr>
          <w:sz w:val="18"/>
        </w:rPr>
        <w:t xml:space="preserve">Bradley L </w:t>
      </w:r>
      <w:proofErr w:type="spellStart"/>
      <w:r>
        <w:rPr>
          <w:sz w:val="18"/>
        </w:rPr>
        <w:t>Schlaggar</w:t>
      </w:r>
      <w:proofErr w:type="spellEnd"/>
      <w:r>
        <w:rPr>
          <w:sz w:val="18"/>
        </w:rPr>
        <w:t xml:space="preserve"> MD PhD President &amp; CEO</w:t>
      </w:r>
    </w:p>
    <w:p w14:paraId="05B09190" w14:textId="77777777" w:rsidR="006679D9" w:rsidRDefault="006801A9">
      <w:pPr>
        <w:ind w:left="178" w:right="3105"/>
        <w:rPr>
          <w:sz w:val="18"/>
        </w:rPr>
      </w:pPr>
      <w:proofErr w:type="spellStart"/>
      <w:r>
        <w:rPr>
          <w:sz w:val="18"/>
        </w:rPr>
        <w:t>Zanvyl</w:t>
      </w:r>
      <w:proofErr w:type="spellEnd"/>
      <w:r>
        <w:rPr>
          <w:sz w:val="18"/>
        </w:rPr>
        <w:t xml:space="preserve"> Krieger Endowed Chair Kennedy Krieger Institute</w:t>
      </w:r>
    </w:p>
    <w:p w14:paraId="61CCE3ED" w14:textId="77777777" w:rsidR="006679D9" w:rsidRDefault="006801A9">
      <w:pPr>
        <w:spacing w:before="3" w:line="207" w:lineRule="exact"/>
        <w:ind w:left="178"/>
        <w:rPr>
          <w:sz w:val="18"/>
        </w:rPr>
      </w:pPr>
      <w:r>
        <w:rPr>
          <w:sz w:val="18"/>
        </w:rPr>
        <w:t>Professor of Neurology and Pediatrics</w:t>
      </w:r>
    </w:p>
    <w:p w14:paraId="0C50F828" w14:textId="77777777" w:rsidR="006679D9" w:rsidRDefault="006801A9">
      <w:pPr>
        <w:spacing w:line="207" w:lineRule="exact"/>
        <w:ind w:left="178"/>
        <w:rPr>
          <w:sz w:val="18"/>
        </w:rPr>
      </w:pPr>
      <w:r>
        <w:rPr>
          <w:sz w:val="18"/>
        </w:rPr>
        <w:t>Johns Hopkins University School of Medicine, Baltimore, MD</w:t>
      </w:r>
    </w:p>
    <w:p w14:paraId="194CD014" w14:textId="77777777" w:rsidR="006679D9" w:rsidRDefault="006679D9">
      <w:pPr>
        <w:pStyle w:val="BodyText"/>
        <w:spacing w:before="3"/>
        <w:rPr>
          <w:sz w:val="23"/>
        </w:rPr>
      </w:pPr>
    </w:p>
    <w:p w14:paraId="32D755ED" w14:textId="77777777" w:rsidR="006679D9" w:rsidRDefault="006801A9">
      <w:pPr>
        <w:spacing w:line="207" w:lineRule="exact"/>
        <w:ind w:left="178"/>
        <w:rPr>
          <w:sz w:val="18"/>
        </w:rPr>
      </w:pPr>
      <w:proofErr w:type="spellStart"/>
      <w:r>
        <w:rPr>
          <w:sz w:val="18"/>
        </w:rPr>
        <w:t>Avi</w:t>
      </w:r>
      <w:proofErr w:type="spellEnd"/>
      <w:r>
        <w:rPr>
          <w:sz w:val="18"/>
        </w:rPr>
        <w:t xml:space="preserve"> </w:t>
      </w:r>
      <w:proofErr w:type="spellStart"/>
      <w:r>
        <w:rPr>
          <w:sz w:val="18"/>
        </w:rPr>
        <w:t>Sagi</w:t>
      </w:r>
      <w:proofErr w:type="spellEnd"/>
      <w:r>
        <w:rPr>
          <w:sz w:val="18"/>
        </w:rPr>
        <w:t>-Schwartz, PhD</w:t>
      </w:r>
    </w:p>
    <w:p w14:paraId="0A082397" w14:textId="77777777" w:rsidR="006679D9" w:rsidRDefault="006801A9">
      <w:pPr>
        <w:ind w:left="178" w:right="1855"/>
        <w:rPr>
          <w:sz w:val="18"/>
        </w:rPr>
      </w:pPr>
      <w:r>
        <w:rPr>
          <w:sz w:val="18"/>
        </w:rPr>
        <w:t>Professor of Psychology and Child Development University of Haifa, Israel</w:t>
      </w:r>
    </w:p>
    <w:p w14:paraId="754A1E0F" w14:textId="77777777" w:rsidR="006679D9" w:rsidRDefault="006679D9">
      <w:pPr>
        <w:pStyle w:val="BodyText"/>
        <w:spacing w:before="10"/>
        <w:rPr>
          <w:sz w:val="17"/>
        </w:rPr>
      </w:pPr>
    </w:p>
    <w:p w14:paraId="37702D38" w14:textId="77777777" w:rsidR="006679D9" w:rsidRDefault="006801A9">
      <w:pPr>
        <w:spacing w:line="207" w:lineRule="exact"/>
        <w:ind w:left="178"/>
        <w:rPr>
          <w:sz w:val="18"/>
        </w:rPr>
      </w:pPr>
      <w:r>
        <w:rPr>
          <w:sz w:val="18"/>
        </w:rPr>
        <w:t>Stephen Scott</w:t>
      </w:r>
    </w:p>
    <w:p w14:paraId="65839C47" w14:textId="77777777" w:rsidR="006679D9" w:rsidRDefault="006801A9">
      <w:pPr>
        <w:spacing w:line="242" w:lineRule="auto"/>
        <w:ind w:left="178" w:right="2050"/>
        <w:rPr>
          <w:sz w:val="18"/>
        </w:rPr>
      </w:pPr>
      <w:r>
        <w:rPr>
          <w:sz w:val="18"/>
        </w:rPr>
        <w:t xml:space="preserve">Professor of Child Health and </w:t>
      </w:r>
      <w:proofErr w:type="spellStart"/>
      <w:r>
        <w:rPr>
          <w:sz w:val="18"/>
        </w:rPr>
        <w:t>Behaviour</w:t>
      </w:r>
      <w:proofErr w:type="spellEnd"/>
      <w:r>
        <w:rPr>
          <w:sz w:val="18"/>
        </w:rPr>
        <w:t xml:space="preserve"> Head, National Adoption and Fostering Clinic King's College London</w:t>
      </w:r>
    </w:p>
    <w:p w14:paraId="050F2EF5" w14:textId="77777777" w:rsidR="006679D9" w:rsidRDefault="006679D9">
      <w:pPr>
        <w:pStyle w:val="BodyText"/>
        <w:spacing w:before="7"/>
        <w:rPr>
          <w:sz w:val="17"/>
        </w:rPr>
      </w:pPr>
    </w:p>
    <w:p w14:paraId="32891458" w14:textId="77777777" w:rsidR="006679D9" w:rsidRDefault="006801A9">
      <w:pPr>
        <w:ind w:left="178" w:right="3450"/>
        <w:rPr>
          <w:sz w:val="18"/>
        </w:rPr>
      </w:pPr>
      <w:r>
        <w:rPr>
          <w:sz w:val="18"/>
        </w:rPr>
        <w:t>Judi Smetana, PhD Department of Psychology University of Rochester</w:t>
      </w:r>
    </w:p>
    <w:p w14:paraId="4FDE354E" w14:textId="77777777" w:rsidR="006679D9" w:rsidRDefault="006679D9">
      <w:pPr>
        <w:pStyle w:val="BodyText"/>
        <w:spacing w:before="9"/>
        <w:rPr>
          <w:sz w:val="17"/>
        </w:rPr>
      </w:pPr>
    </w:p>
    <w:p w14:paraId="1AAFDA2A" w14:textId="77777777" w:rsidR="006679D9" w:rsidRDefault="006801A9">
      <w:pPr>
        <w:spacing w:line="207" w:lineRule="exact"/>
        <w:ind w:left="178"/>
        <w:rPr>
          <w:sz w:val="18"/>
        </w:rPr>
      </w:pPr>
      <w:r>
        <w:rPr>
          <w:color w:val="212121"/>
          <w:sz w:val="18"/>
        </w:rPr>
        <w:t xml:space="preserve">Edmund </w:t>
      </w:r>
      <w:proofErr w:type="spellStart"/>
      <w:r>
        <w:rPr>
          <w:color w:val="212121"/>
          <w:sz w:val="18"/>
        </w:rPr>
        <w:t>Sonuga-Barke</w:t>
      </w:r>
      <w:proofErr w:type="spellEnd"/>
      <w:r>
        <w:rPr>
          <w:color w:val="212121"/>
          <w:sz w:val="18"/>
        </w:rPr>
        <w:t xml:space="preserve"> PhD, FBA, </w:t>
      </w:r>
      <w:proofErr w:type="spellStart"/>
      <w:r>
        <w:rPr>
          <w:color w:val="212121"/>
          <w:sz w:val="18"/>
        </w:rPr>
        <w:t>FMedSci</w:t>
      </w:r>
      <w:proofErr w:type="spellEnd"/>
    </w:p>
    <w:p w14:paraId="67513527" w14:textId="77777777" w:rsidR="006679D9" w:rsidRDefault="006801A9">
      <w:pPr>
        <w:spacing w:line="244" w:lineRule="auto"/>
        <w:ind w:left="178" w:right="371"/>
        <w:rPr>
          <w:sz w:val="18"/>
        </w:rPr>
      </w:pPr>
      <w:r>
        <w:rPr>
          <w:color w:val="212121"/>
          <w:sz w:val="18"/>
        </w:rPr>
        <w:t>Professor of Developmental Psychology, Psychiatry &amp; Neuroscience, King’s College London.</w:t>
      </w:r>
    </w:p>
    <w:p w14:paraId="31710657" w14:textId="77777777" w:rsidR="006679D9" w:rsidRDefault="006679D9">
      <w:pPr>
        <w:pStyle w:val="BodyText"/>
        <w:spacing w:before="6"/>
        <w:rPr>
          <w:sz w:val="17"/>
        </w:rPr>
      </w:pPr>
    </w:p>
    <w:p w14:paraId="580D0408" w14:textId="77777777" w:rsidR="006679D9" w:rsidRDefault="006801A9">
      <w:pPr>
        <w:spacing w:line="207" w:lineRule="exact"/>
        <w:ind w:left="178"/>
        <w:rPr>
          <w:sz w:val="18"/>
        </w:rPr>
      </w:pPr>
      <w:r>
        <w:rPr>
          <w:color w:val="212121"/>
          <w:sz w:val="18"/>
        </w:rPr>
        <w:t>Sheree L Toth, PhD</w:t>
      </w:r>
    </w:p>
    <w:p w14:paraId="06608B3D" w14:textId="77777777" w:rsidR="006679D9" w:rsidRDefault="006801A9">
      <w:pPr>
        <w:ind w:left="178" w:right="2630"/>
        <w:rPr>
          <w:sz w:val="18"/>
        </w:rPr>
      </w:pPr>
      <w:r>
        <w:rPr>
          <w:color w:val="212121"/>
          <w:sz w:val="18"/>
        </w:rPr>
        <w:t>Director, Mt. Hope Family Center Professor of Psychology &amp; Psychiatry University of Rochester</w:t>
      </w:r>
    </w:p>
    <w:p w14:paraId="40CA5EF4" w14:textId="77777777" w:rsidR="006679D9" w:rsidRDefault="006679D9">
      <w:pPr>
        <w:pStyle w:val="BodyText"/>
        <w:spacing w:before="9"/>
        <w:rPr>
          <w:sz w:val="17"/>
        </w:rPr>
      </w:pPr>
    </w:p>
    <w:p w14:paraId="2EA98E88" w14:textId="77777777" w:rsidR="006679D9" w:rsidRDefault="006801A9">
      <w:pPr>
        <w:spacing w:line="244" w:lineRule="auto"/>
        <w:ind w:left="178" w:right="2870"/>
        <w:rPr>
          <w:sz w:val="18"/>
        </w:rPr>
      </w:pPr>
      <w:r>
        <w:rPr>
          <w:sz w:val="18"/>
        </w:rPr>
        <w:t xml:space="preserve">Marinus van </w:t>
      </w:r>
      <w:proofErr w:type="spellStart"/>
      <w:r>
        <w:rPr>
          <w:sz w:val="18"/>
        </w:rPr>
        <w:t>IJzendoorn</w:t>
      </w:r>
      <w:proofErr w:type="spellEnd"/>
      <w:r>
        <w:rPr>
          <w:sz w:val="18"/>
        </w:rPr>
        <w:t>, PhD Professor of Human Development,</w:t>
      </w:r>
    </w:p>
    <w:p w14:paraId="39CDD3B8" w14:textId="77777777" w:rsidR="006679D9" w:rsidRDefault="006801A9">
      <w:pPr>
        <w:ind w:left="178" w:right="1305"/>
        <w:rPr>
          <w:sz w:val="18"/>
        </w:rPr>
      </w:pPr>
      <w:r>
        <w:rPr>
          <w:sz w:val="18"/>
        </w:rPr>
        <w:t>Department of Psychology, Education and Child Studies Erasmus University Rotterdam, The Netherlands</w:t>
      </w:r>
    </w:p>
    <w:p w14:paraId="28400B4B" w14:textId="77777777" w:rsidR="006679D9" w:rsidRDefault="006801A9">
      <w:pPr>
        <w:ind w:left="178" w:right="366"/>
        <w:rPr>
          <w:sz w:val="18"/>
        </w:rPr>
      </w:pPr>
      <w:r>
        <w:rPr>
          <w:color w:val="212121"/>
          <w:sz w:val="18"/>
        </w:rPr>
        <w:t>Visiting Professor, Research Department of Clinical, Educational and Health Psychology, Faculty of Brain Sciences, UCL, UK</w:t>
      </w:r>
    </w:p>
    <w:p w14:paraId="3BFE00BB" w14:textId="77777777" w:rsidR="006679D9" w:rsidRDefault="006679D9">
      <w:pPr>
        <w:pStyle w:val="BodyText"/>
        <w:spacing w:before="4"/>
        <w:rPr>
          <w:sz w:val="17"/>
        </w:rPr>
      </w:pPr>
    </w:p>
    <w:p w14:paraId="1A6EE086" w14:textId="77777777" w:rsidR="006679D9" w:rsidRDefault="006801A9">
      <w:pPr>
        <w:spacing w:line="207" w:lineRule="exact"/>
        <w:ind w:left="178"/>
        <w:rPr>
          <w:sz w:val="18"/>
        </w:rPr>
      </w:pPr>
      <w:r>
        <w:rPr>
          <w:sz w:val="18"/>
        </w:rPr>
        <w:t xml:space="preserve">Charles H. </w:t>
      </w:r>
      <w:proofErr w:type="spellStart"/>
      <w:r>
        <w:rPr>
          <w:sz w:val="18"/>
        </w:rPr>
        <w:t>Zeanah</w:t>
      </w:r>
      <w:proofErr w:type="spellEnd"/>
      <w:r>
        <w:rPr>
          <w:sz w:val="18"/>
        </w:rPr>
        <w:t>, MD</w:t>
      </w:r>
    </w:p>
    <w:p w14:paraId="2AA83F4F" w14:textId="77777777" w:rsidR="006679D9" w:rsidRDefault="006801A9">
      <w:pPr>
        <w:spacing w:line="244" w:lineRule="auto"/>
        <w:ind w:left="178" w:right="1860"/>
        <w:rPr>
          <w:sz w:val="18"/>
        </w:rPr>
      </w:pPr>
      <w:r>
        <w:rPr>
          <w:sz w:val="18"/>
        </w:rPr>
        <w:t xml:space="preserve">Mary Peters Sellars </w:t>
      </w:r>
      <w:proofErr w:type="spellStart"/>
      <w:r>
        <w:rPr>
          <w:sz w:val="18"/>
        </w:rPr>
        <w:t>Polchow</w:t>
      </w:r>
      <w:proofErr w:type="spellEnd"/>
      <w:r>
        <w:rPr>
          <w:sz w:val="18"/>
        </w:rPr>
        <w:t xml:space="preserve"> Chair in Psychiatry Professor of Psychiatry and Pediatrics</w:t>
      </w:r>
    </w:p>
    <w:p w14:paraId="1391903F" w14:textId="77777777" w:rsidR="006679D9" w:rsidRDefault="006801A9">
      <w:pPr>
        <w:spacing w:line="202" w:lineRule="exact"/>
        <w:ind w:left="178"/>
        <w:rPr>
          <w:sz w:val="18"/>
        </w:rPr>
      </w:pPr>
      <w:r>
        <w:rPr>
          <w:sz w:val="18"/>
        </w:rPr>
        <w:t>Vice Chair for Child and Adolescent Psychiatry</w:t>
      </w:r>
    </w:p>
    <w:sectPr w:rsidR="006679D9">
      <w:pgSz w:w="12240" w:h="15840"/>
      <w:pgMar w:top="660" w:right="600" w:bottom="280" w:left="620" w:header="720" w:footer="720" w:gutter="0"/>
      <w:cols w:num="2" w:space="720" w:equalWidth="0">
        <w:col w:w="5402" w:space="40"/>
        <w:col w:w="557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37D39"/>
    <w:multiLevelType w:val="hybridMultilevel"/>
    <w:tmpl w:val="8CC83F28"/>
    <w:lvl w:ilvl="0" w:tplc="4C1678CA">
      <w:start w:val="1"/>
      <w:numFmt w:val="decimal"/>
      <w:lvlText w:val="%1."/>
      <w:lvlJc w:val="left"/>
      <w:pPr>
        <w:ind w:left="839" w:hanging="720"/>
        <w:jc w:val="left"/>
      </w:pPr>
      <w:rPr>
        <w:rFonts w:ascii="Times New Roman" w:eastAsia="Times New Roman" w:hAnsi="Times New Roman" w:cs="Times New Roman" w:hint="default"/>
        <w:spacing w:val="-2"/>
        <w:w w:val="101"/>
        <w:sz w:val="18"/>
        <w:szCs w:val="18"/>
        <w:lang w:val="en-US" w:eastAsia="en-US" w:bidi="ar-SA"/>
      </w:rPr>
    </w:lvl>
    <w:lvl w:ilvl="1" w:tplc="55D8B234">
      <w:numFmt w:val="bullet"/>
      <w:lvlText w:val="•"/>
      <w:lvlJc w:val="left"/>
      <w:pPr>
        <w:ind w:left="1858" w:hanging="720"/>
      </w:pPr>
      <w:rPr>
        <w:rFonts w:hint="default"/>
        <w:lang w:val="en-US" w:eastAsia="en-US" w:bidi="ar-SA"/>
      </w:rPr>
    </w:lvl>
    <w:lvl w:ilvl="2" w:tplc="F934080A">
      <w:numFmt w:val="bullet"/>
      <w:lvlText w:val="•"/>
      <w:lvlJc w:val="left"/>
      <w:pPr>
        <w:ind w:left="2876" w:hanging="720"/>
      </w:pPr>
      <w:rPr>
        <w:rFonts w:hint="default"/>
        <w:lang w:val="en-US" w:eastAsia="en-US" w:bidi="ar-SA"/>
      </w:rPr>
    </w:lvl>
    <w:lvl w:ilvl="3" w:tplc="C51C56EE">
      <w:numFmt w:val="bullet"/>
      <w:lvlText w:val="•"/>
      <w:lvlJc w:val="left"/>
      <w:pPr>
        <w:ind w:left="3894" w:hanging="720"/>
      </w:pPr>
      <w:rPr>
        <w:rFonts w:hint="default"/>
        <w:lang w:val="en-US" w:eastAsia="en-US" w:bidi="ar-SA"/>
      </w:rPr>
    </w:lvl>
    <w:lvl w:ilvl="4" w:tplc="7DA8FB72">
      <w:numFmt w:val="bullet"/>
      <w:lvlText w:val="•"/>
      <w:lvlJc w:val="left"/>
      <w:pPr>
        <w:ind w:left="4912" w:hanging="720"/>
      </w:pPr>
      <w:rPr>
        <w:rFonts w:hint="default"/>
        <w:lang w:val="en-US" w:eastAsia="en-US" w:bidi="ar-SA"/>
      </w:rPr>
    </w:lvl>
    <w:lvl w:ilvl="5" w:tplc="D924BB7A">
      <w:numFmt w:val="bullet"/>
      <w:lvlText w:val="•"/>
      <w:lvlJc w:val="left"/>
      <w:pPr>
        <w:ind w:left="5930" w:hanging="720"/>
      </w:pPr>
      <w:rPr>
        <w:rFonts w:hint="default"/>
        <w:lang w:val="en-US" w:eastAsia="en-US" w:bidi="ar-SA"/>
      </w:rPr>
    </w:lvl>
    <w:lvl w:ilvl="6" w:tplc="B3881C8E">
      <w:numFmt w:val="bullet"/>
      <w:lvlText w:val="•"/>
      <w:lvlJc w:val="left"/>
      <w:pPr>
        <w:ind w:left="6948" w:hanging="720"/>
      </w:pPr>
      <w:rPr>
        <w:rFonts w:hint="default"/>
        <w:lang w:val="en-US" w:eastAsia="en-US" w:bidi="ar-SA"/>
      </w:rPr>
    </w:lvl>
    <w:lvl w:ilvl="7" w:tplc="F234696C">
      <w:numFmt w:val="bullet"/>
      <w:lvlText w:val="•"/>
      <w:lvlJc w:val="left"/>
      <w:pPr>
        <w:ind w:left="7966" w:hanging="720"/>
      </w:pPr>
      <w:rPr>
        <w:rFonts w:hint="default"/>
        <w:lang w:val="en-US" w:eastAsia="en-US" w:bidi="ar-SA"/>
      </w:rPr>
    </w:lvl>
    <w:lvl w:ilvl="8" w:tplc="DD327768">
      <w:numFmt w:val="bullet"/>
      <w:lvlText w:val="•"/>
      <w:lvlJc w:val="left"/>
      <w:pPr>
        <w:ind w:left="8984" w:hanging="720"/>
      </w:pPr>
      <w:rPr>
        <w:rFonts w:hint="default"/>
        <w:lang w:val="en-US" w:eastAsia="en-US" w:bidi="ar-SA"/>
      </w:rPr>
    </w:lvl>
  </w:abstractNum>
  <w:num w:numId="1" w16cid:durableId="1241284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D9"/>
    <w:rsid w:val="006679D9"/>
    <w:rsid w:val="006801A9"/>
    <w:rsid w:val="00BC040D"/>
    <w:rsid w:val="00E9424C"/>
    <w:rsid w:val="00F4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1308"/>
  <w15:docId w15:val="{5E5A91B6-97A2-4AFF-883C-C1700AD1E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2" w:line="366" w:lineRule="exact"/>
      <w:ind w:left="2911" w:right="2893"/>
      <w:jc w:val="center"/>
    </w:pPr>
    <w:rPr>
      <w:b/>
      <w:bCs/>
      <w:sz w:val="32"/>
      <w:szCs w:val="32"/>
    </w:rPr>
  </w:style>
  <w:style w:type="paragraph" w:styleId="ListParagraph">
    <w:name w:val="List Paragraph"/>
    <w:basedOn w:val="Normal"/>
    <w:uiPriority w:val="1"/>
    <w:qFormat/>
    <w:pPr>
      <w:ind w:left="83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f.hhs.gov/cb/research-data-technology/statistics-research/afc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UN_DGD_Children's Rights and Alternative Care.docx</vt:lpstr>
    </vt:vector>
  </TitlesOfParts>
  <Company>ORG</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UN_DGD_Children's Rights and Alternative Care.docx</dc:title>
  <dc:creator>Rachel Arnold</dc:creator>
  <cp:lastModifiedBy>Caitlin Kowalski</cp:lastModifiedBy>
  <cp:revision>2</cp:revision>
  <cp:lastPrinted>2021-12-15T17:24:00Z</cp:lastPrinted>
  <dcterms:created xsi:type="dcterms:W3CDTF">2023-09-25T19:45:00Z</dcterms:created>
  <dcterms:modified xsi:type="dcterms:W3CDTF">2023-09-25T19:45:00Z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2021-06-14T00:00:00Z</vt:filetime>
  </property>
  <property fmtid="{D5CDD505-2E9C-101B-9397-08002B2CF9AE}" pid="3" name="Creator">
    <vt:lpwstr>Word</vt:lpwstr>
  </property>
  <property fmtid="{D5CDD505-2E9C-101B-9397-08002B2CF9AE}" pid="4" name="LastSaved">
    <vt:filetime>2021-12-15T00:00:00Z</vt:filetime>
  </property>
</Properties>
</file>