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FA13F" w14:textId="283596CA" w:rsidR="00C51734" w:rsidRDefault="00C51734" w:rsidP="00C51734">
      <w:pPr>
        <w:spacing w:after="0" w:line="240" w:lineRule="auto"/>
        <w:jc w:val="right"/>
        <w:rPr>
          <w:rFonts w:asciiTheme="minorHAnsi" w:hAnsiTheme="minorHAnsi" w:cstheme="minorHAnsi"/>
          <w:bCs/>
        </w:rPr>
      </w:pPr>
      <w:r w:rsidRPr="000C0393">
        <w:rPr>
          <w:rFonts w:asciiTheme="minorHAnsi" w:hAnsiTheme="minorHAnsi" w:cstheme="minorHAnsi"/>
          <w:bCs/>
        </w:rPr>
        <w:t xml:space="preserve">Ciudad de México, Ciudad de Guatemala y Washington D.C., </w:t>
      </w:r>
      <w:r w:rsidR="008A66A8" w:rsidRPr="000C0393">
        <w:rPr>
          <w:rFonts w:asciiTheme="minorHAnsi" w:hAnsiTheme="minorHAnsi" w:cstheme="minorHAnsi"/>
          <w:bCs/>
        </w:rPr>
        <w:t xml:space="preserve">1 de </w:t>
      </w:r>
      <w:r w:rsidRPr="000C0393">
        <w:rPr>
          <w:rFonts w:asciiTheme="minorHAnsi" w:hAnsiTheme="minorHAnsi" w:cstheme="minorHAnsi"/>
          <w:bCs/>
        </w:rPr>
        <w:t xml:space="preserve">mayo </w:t>
      </w:r>
      <w:r w:rsidR="008A66A8" w:rsidRPr="000C0393">
        <w:rPr>
          <w:rFonts w:asciiTheme="minorHAnsi" w:hAnsiTheme="minorHAnsi" w:cstheme="minorHAnsi"/>
          <w:bCs/>
        </w:rPr>
        <w:t xml:space="preserve">de </w:t>
      </w:r>
      <w:r w:rsidRPr="000C0393">
        <w:rPr>
          <w:rFonts w:asciiTheme="minorHAnsi" w:hAnsiTheme="minorHAnsi" w:cstheme="minorHAnsi"/>
          <w:bCs/>
        </w:rPr>
        <w:t>2020</w:t>
      </w:r>
    </w:p>
    <w:p w14:paraId="2AE69368" w14:textId="77777777" w:rsidR="000C0393" w:rsidRPr="000C0393" w:rsidRDefault="000C0393" w:rsidP="00C51734">
      <w:pPr>
        <w:spacing w:after="0" w:line="240" w:lineRule="auto"/>
        <w:jc w:val="right"/>
        <w:rPr>
          <w:rFonts w:asciiTheme="minorHAnsi" w:hAnsiTheme="minorHAnsi" w:cstheme="minorHAnsi"/>
          <w:bCs/>
        </w:rPr>
      </w:pPr>
    </w:p>
    <w:p w14:paraId="0F99D943" w14:textId="1860EA49" w:rsidR="00C51734" w:rsidRPr="009D593A" w:rsidRDefault="00C51734" w:rsidP="00C51734">
      <w:pPr>
        <w:spacing w:after="0" w:line="240" w:lineRule="auto"/>
        <w:jc w:val="right"/>
        <w:rPr>
          <w:rFonts w:asciiTheme="minorHAnsi" w:hAnsiTheme="minorHAnsi" w:cstheme="minorHAnsi"/>
          <w:b/>
        </w:rPr>
      </w:pPr>
      <w:r w:rsidRPr="009D593A">
        <w:rPr>
          <w:rFonts w:asciiTheme="minorHAnsi" w:hAnsiTheme="minorHAnsi" w:cstheme="minorHAnsi"/>
          <w:b/>
        </w:rPr>
        <w:t xml:space="preserve"> Re: Extensión de medidas cautelares MC-370-12.</w:t>
      </w:r>
    </w:p>
    <w:p w14:paraId="5908AB50" w14:textId="77777777" w:rsidR="00E65373" w:rsidRPr="009D593A" w:rsidRDefault="00E65373" w:rsidP="00C51734">
      <w:pPr>
        <w:spacing w:after="0" w:line="240" w:lineRule="auto"/>
        <w:jc w:val="right"/>
        <w:rPr>
          <w:rFonts w:asciiTheme="minorHAnsi" w:hAnsiTheme="minorHAnsi" w:cstheme="minorHAnsi"/>
          <w:b/>
        </w:rPr>
      </w:pPr>
    </w:p>
    <w:p w14:paraId="228C6C62" w14:textId="33A1189F" w:rsidR="00C51734" w:rsidRPr="00574D97" w:rsidRDefault="00C51734" w:rsidP="00C51734">
      <w:pPr>
        <w:spacing w:after="0" w:line="240" w:lineRule="auto"/>
        <w:jc w:val="both"/>
        <w:rPr>
          <w:rFonts w:asciiTheme="minorHAnsi" w:hAnsiTheme="minorHAnsi" w:cstheme="minorHAnsi"/>
        </w:rPr>
      </w:pPr>
      <w:r w:rsidRPr="00574D97">
        <w:rPr>
          <w:rFonts w:asciiTheme="minorHAnsi" w:hAnsiTheme="minorHAnsi" w:cstheme="minorHAnsi"/>
        </w:rPr>
        <w:t>Paulo Abr</w:t>
      </w:r>
      <w:r w:rsidR="00595741" w:rsidRPr="00574D97">
        <w:rPr>
          <w:rFonts w:asciiTheme="minorHAnsi" w:hAnsiTheme="minorHAnsi" w:cstheme="minorHAnsi"/>
        </w:rPr>
        <w:t>ã</w:t>
      </w:r>
      <w:r w:rsidRPr="00574D97">
        <w:rPr>
          <w:rFonts w:asciiTheme="minorHAnsi" w:hAnsiTheme="minorHAnsi" w:cstheme="minorHAnsi"/>
        </w:rPr>
        <w:t>o</w:t>
      </w:r>
    </w:p>
    <w:p w14:paraId="0026A5D3" w14:textId="77777777" w:rsidR="00C51734" w:rsidRPr="009D593A" w:rsidRDefault="00C51734" w:rsidP="00C51734">
      <w:pPr>
        <w:spacing w:after="0" w:line="240" w:lineRule="auto"/>
        <w:jc w:val="both"/>
        <w:rPr>
          <w:rFonts w:asciiTheme="minorHAnsi" w:hAnsiTheme="minorHAnsi" w:cstheme="minorHAnsi"/>
          <w:b/>
          <w:bCs/>
        </w:rPr>
      </w:pPr>
      <w:r w:rsidRPr="009D593A">
        <w:rPr>
          <w:rFonts w:asciiTheme="minorHAnsi" w:hAnsiTheme="minorHAnsi" w:cstheme="minorHAnsi"/>
          <w:b/>
          <w:bCs/>
        </w:rPr>
        <w:t>Secretario Ejecutivo</w:t>
      </w:r>
    </w:p>
    <w:p w14:paraId="65B4484C" w14:textId="2BD4506C" w:rsidR="00C51734" w:rsidRPr="009D593A" w:rsidRDefault="00C51734" w:rsidP="00C51734">
      <w:pPr>
        <w:spacing w:after="0" w:line="240" w:lineRule="auto"/>
        <w:jc w:val="both"/>
        <w:rPr>
          <w:rFonts w:asciiTheme="minorHAnsi" w:hAnsiTheme="minorHAnsi" w:cstheme="minorHAnsi"/>
          <w:b/>
          <w:bCs/>
        </w:rPr>
      </w:pPr>
      <w:r w:rsidRPr="009D593A">
        <w:rPr>
          <w:rFonts w:asciiTheme="minorHAnsi" w:hAnsiTheme="minorHAnsi" w:cstheme="minorHAnsi"/>
          <w:b/>
          <w:bCs/>
        </w:rPr>
        <w:t>Comisión Inte</w:t>
      </w:r>
      <w:r w:rsidR="00695F3B">
        <w:rPr>
          <w:rFonts w:asciiTheme="minorHAnsi" w:hAnsiTheme="minorHAnsi" w:cstheme="minorHAnsi"/>
          <w:b/>
          <w:bCs/>
        </w:rPr>
        <w:t>ra</w:t>
      </w:r>
      <w:r w:rsidRPr="009D593A">
        <w:rPr>
          <w:rFonts w:asciiTheme="minorHAnsi" w:hAnsiTheme="minorHAnsi" w:cstheme="minorHAnsi"/>
          <w:b/>
          <w:bCs/>
        </w:rPr>
        <w:t>mericana de Derechos Humanos</w:t>
      </w:r>
    </w:p>
    <w:p w14:paraId="196222A6" w14:textId="77777777" w:rsidR="00574D97" w:rsidRDefault="00574D97" w:rsidP="00C51734">
      <w:pPr>
        <w:spacing w:after="0" w:line="240" w:lineRule="auto"/>
        <w:jc w:val="both"/>
        <w:rPr>
          <w:rFonts w:asciiTheme="minorHAnsi" w:hAnsiTheme="minorHAnsi" w:cstheme="minorHAnsi"/>
        </w:rPr>
      </w:pPr>
    </w:p>
    <w:p w14:paraId="331FE1E3" w14:textId="023A808C" w:rsidR="00C51734" w:rsidRPr="009D593A" w:rsidRDefault="00C51734" w:rsidP="00C51734">
      <w:pPr>
        <w:spacing w:after="0" w:line="240" w:lineRule="auto"/>
        <w:jc w:val="both"/>
        <w:rPr>
          <w:rFonts w:asciiTheme="minorHAnsi" w:hAnsiTheme="minorHAnsi" w:cstheme="minorHAnsi"/>
        </w:rPr>
      </w:pPr>
      <w:r w:rsidRPr="009D593A">
        <w:rPr>
          <w:rFonts w:asciiTheme="minorHAnsi" w:hAnsiTheme="minorHAnsi" w:cstheme="minorHAnsi"/>
        </w:rPr>
        <w:t xml:space="preserve">Disability Rights International y el Colectivo Vida Independiente de Guatemala (en adelante “las peticionarias” o DRI o el Colectivo, respectivamente) presentan la siguiente </w:t>
      </w:r>
      <w:r w:rsidR="00B07444" w:rsidRPr="009D593A">
        <w:rPr>
          <w:rFonts w:asciiTheme="minorHAnsi" w:hAnsiTheme="minorHAnsi" w:cstheme="minorHAnsi"/>
        </w:rPr>
        <w:t>solicitud</w:t>
      </w:r>
      <w:r w:rsidRPr="009D593A">
        <w:rPr>
          <w:rFonts w:asciiTheme="minorHAnsi" w:hAnsiTheme="minorHAnsi" w:cstheme="minorHAnsi"/>
        </w:rPr>
        <w:t xml:space="preserve"> a la Honorable Comisión Interamericana de Derechos Humanos (en adelante “la Comisión”, “la Comisión Interamericana” o “CIDH”), para solicitar la extensión de las medidas cautelares MC-370-12, de conformidad con el artículo 25 del Reglamento de la CIDH y el artículo 1.1 de la Convención Americana sobre Derechos Humanos (en adelante “la Convención” o “CADH”).</w:t>
      </w:r>
    </w:p>
    <w:p w14:paraId="2A182108" w14:textId="77777777" w:rsidR="00F055E7" w:rsidRPr="009D593A" w:rsidRDefault="00F055E7" w:rsidP="00F055E7">
      <w:pPr>
        <w:spacing w:after="0" w:line="240" w:lineRule="auto"/>
        <w:jc w:val="both"/>
        <w:rPr>
          <w:rFonts w:asciiTheme="minorHAnsi" w:hAnsiTheme="minorHAnsi" w:cstheme="minorHAnsi"/>
        </w:rPr>
      </w:pPr>
    </w:p>
    <w:p w14:paraId="124F5BB1" w14:textId="0137EBFD" w:rsidR="00F055E7" w:rsidRPr="009D593A" w:rsidRDefault="00F055E7" w:rsidP="00F055E7">
      <w:pPr>
        <w:spacing w:after="0" w:line="240" w:lineRule="auto"/>
        <w:jc w:val="both"/>
        <w:rPr>
          <w:rFonts w:asciiTheme="minorHAnsi" w:hAnsiTheme="minorHAnsi" w:cstheme="minorHAnsi"/>
        </w:rPr>
      </w:pPr>
      <w:r w:rsidRPr="009D593A">
        <w:rPr>
          <w:rFonts w:asciiTheme="minorHAnsi" w:hAnsiTheme="minorHAnsi" w:cstheme="minorHAnsi"/>
        </w:rPr>
        <w:t xml:space="preserve">La extensión de las medidas cautelares se solicita con el fin de proteger a las y los pacientes que se encuentran detenidos en el Hospital Nacional de Salud Mental (en adelante </w:t>
      </w:r>
      <w:r w:rsidR="005D423B" w:rsidRPr="009D593A">
        <w:rPr>
          <w:rFonts w:asciiTheme="minorHAnsi" w:hAnsiTheme="minorHAnsi" w:cstheme="minorHAnsi"/>
        </w:rPr>
        <w:t>el</w:t>
      </w:r>
      <w:r w:rsidRPr="009D593A">
        <w:rPr>
          <w:rFonts w:asciiTheme="minorHAnsi" w:hAnsiTheme="minorHAnsi" w:cstheme="minorHAnsi"/>
        </w:rPr>
        <w:t xml:space="preserve"> “Federico Mora”) del riesgo inminente de muerte que enfrentan como resultado de la propagación del virus denominado COVID-19</w:t>
      </w:r>
      <w:r w:rsidR="000105BA">
        <w:rPr>
          <w:rFonts w:asciiTheme="minorHAnsi" w:hAnsiTheme="minorHAnsi" w:cstheme="minorHAnsi"/>
        </w:rPr>
        <w:t xml:space="preserve"> dentro del hospital</w:t>
      </w:r>
      <w:r w:rsidRPr="009D593A">
        <w:rPr>
          <w:rFonts w:asciiTheme="minorHAnsi" w:hAnsiTheme="minorHAnsi" w:cstheme="minorHAnsi"/>
        </w:rPr>
        <w:t>. Estas medidas no se encuentran expresamente cubiertas por el otorgamiento original de las medidas cautelares MC-370-12.</w:t>
      </w:r>
    </w:p>
    <w:p w14:paraId="253BE29A" w14:textId="0570F7FA" w:rsidR="00323FFB" w:rsidRPr="009D593A" w:rsidRDefault="00323FFB" w:rsidP="00F055E7">
      <w:pPr>
        <w:spacing w:after="0" w:line="240" w:lineRule="auto"/>
        <w:jc w:val="both"/>
        <w:rPr>
          <w:rFonts w:asciiTheme="minorHAnsi" w:hAnsiTheme="minorHAnsi" w:cstheme="minorHAnsi"/>
        </w:rPr>
      </w:pPr>
    </w:p>
    <w:p w14:paraId="3AACE6B4" w14:textId="1580C869" w:rsidR="00CB100C" w:rsidRPr="009D593A" w:rsidRDefault="00CB100C" w:rsidP="00CB100C">
      <w:pPr>
        <w:spacing w:after="0" w:line="240" w:lineRule="auto"/>
        <w:jc w:val="both"/>
        <w:rPr>
          <w:rFonts w:asciiTheme="minorHAnsi" w:hAnsiTheme="minorHAnsi" w:cstheme="minorHAnsi"/>
        </w:rPr>
      </w:pPr>
      <w:r w:rsidRPr="009D593A">
        <w:rPr>
          <w:rFonts w:asciiTheme="minorHAnsi" w:hAnsiTheme="minorHAnsi" w:cstheme="minorHAnsi"/>
        </w:rPr>
        <w:t>El 20 de noviembre de 2012, esta Honorable Comisión otorgó medidas cautelares a favor de las 334 “personas detenidas en el Hospital Federico Mora”. Correspondientemente, pidió al gobierno de Guatemala que adoptara medidas urgentes para proteger su vida e integridad personal, incluyendo proporcionar tratamiento médico adecuado e individualizado a cada uno, separar a los niños de los adultos, separar a los detenidos forenses de los detenidos no forenses, y restringir el uso de celdas de aislamiento. También requirió al gobierno tomar medidas inmediatas de prevención para garantizar que los detenidos, especialmente las mujeres detenidas, no fueran objeto de abuso físico, psicológico y sexual.</w:t>
      </w:r>
    </w:p>
    <w:p w14:paraId="59E5F6FA" w14:textId="77777777" w:rsidR="00323FFB" w:rsidRPr="009D593A" w:rsidRDefault="00323FFB" w:rsidP="00F055E7">
      <w:pPr>
        <w:spacing w:after="0" w:line="240" w:lineRule="auto"/>
        <w:jc w:val="both"/>
        <w:rPr>
          <w:rFonts w:asciiTheme="minorHAnsi" w:hAnsiTheme="minorHAnsi" w:cstheme="minorHAnsi"/>
        </w:rPr>
      </w:pPr>
    </w:p>
    <w:p w14:paraId="31C916D6" w14:textId="139CCD77" w:rsidR="00A34706" w:rsidRDefault="00D90914" w:rsidP="004C5C64">
      <w:pPr>
        <w:spacing w:line="240" w:lineRule="auto"/>
        <w:jc w:val="both"/>
        <w:rPr>
          <w:rFonts w:asciiTheme="minorHAnsi" w:hAnsiTheme="minorHAnsi" w:cstheme="minorHAnsi"/>
        </w:rPr>
      </w:pPr>
      <w:r w:rsidRPr="009D593A">
        <w:rPr>
          <w:rFonts w:asciiTheme="minorHAnsi" w:hAnsiTheme="minorHAnsi" w:cstheme="minorHAnsi"/>
        </w:rPr>
        <w:t xml:space="preserve">Las peticionarias </w:t>
      </w:r>
      <w:r w:rsidR="00A34706" w:rsidRPr="009D593A">
        <w:rPr>
          <w:rFonts w:asciiTheme="minorHAnsi" w:hAnsiTheme="minorHAnsi" w:cstheme="minorHAnsi"/>
        </w:rPr>
        <w:t xml:space="preserve">solicitamos </w:t>
      </w:r>
      <w:r w:rsidRPr="009D593A">
        <w:rPr>
          <w:rFonts w:asciiTheme="minorHAnsi" w:hAnsiTheme="minorHAnsi" w:cstheme="minorHAnsi"/>
        </w:rPr>
        <w:t>respetuosamente que, a la luz del artículo 11 de la Convención sobre los Derechos de las Personas de Discapacidad (CDPD), se extiendan dichas medidas para garantizar la vida, la seguridad y la protección de las y los pacientes del “Federico Mora” en la actual situación de riesgo humanitario a la que se enfrenta el mundo, Guatemala y, en particular, el “Federico Mora”</w:t>
      </w:r>
      <w:r w:rsidR="00A34706">
        <w:rPr>
          <w:rFonts w:asciiTheme="minorHAnsi" w:hAnsiTheme="minorHAnsi" w:cstheme="minorHAnsi"/>
        </w:rPr>
        <w:t>,</w:t>
      </w:r>
      <w:r w:rsidRPr="009D593A">
        <w:rPr>
          <w:rFonts w:asciiTheme="minorHAnsi" w:hAnsiTheme="minorHAnsi" w:cstheme="minorHAnsi"/>
        </w:rPr>
        <w:t xml:space="preserve"> debido a la pandemia COVID-19. </w:t>
      </w:r>
    </w:p>
    <w:p w14:paraId="2A7ADF65" w14:textId="293B4A65" w:rsidR="00D90914" w:rsidRPr="009D593A" w:rsidRDefault="00D90914" w:rsidP="004C5C64">
      <w:pPr>
        <w:spacing w:line="240" w:lineRule="auto"/>
        <w:jc w:val="both"/>
        <w:rPr>
          <w:rFonts w:asciiTheme="minorHAnsi" w:hAnsiTheme="minorHAnsi" w:cstheme="minorHAnsi"/>
        </w:rPr>
      </w:pPr>
      <w:r w:rsidRPr="009D593A">
        <w:rPr>
          <w:rFonts w:asciiTheme="minorHAnsi" w:hAnsiTheme="minorHAnsi" w:cstheme="minorHAnsi"/>
        </w:rPr>
        <w:t xml:space="preserve">Las peticionarias </w:t>
      </w:r>
      <w:r w:rsidR="00A34706" w:rsidRPr="009D593A">
        <w:rPr>
          <w:rFonts w:asciiTheme="minorHAnsi" w:hAnsiTheme="minorHAnsi" w:cstheme="minorHAnsi"/>
        </w:rPr>
        <w:t>pedimos</w:t>
      </w:r>
      <w:r w:rsidRPr="009D593A">
        <w:rPr>
          <w:rFonts w:asciiTheme="minorHAnsi" w:hAnsiTheme="minorHAnsi" w:cstheme="minorHAnsi"/>
        </w:rPr>
        <w:t xml:space="preserve"> a esta Honorable Comisión que </w:t>
      </w:r>
      <w:r w:rsidR="00776785" w:rsidRPr="009D593A">
        <w:rPr>
          <w:rFonts w:asciiTheme="minorHAnsi" w:hAnsiTheme="minorHAnsi" w:cstheme="minorHAnsi"/>
        </w:rPr>
        <w:t>haga un llamado</w:t>
      </w:r>
      <w:r w:rsidR="004C5C64" w:rsidRPr="009D593A">
        <w:rPr>
          <w:rFonts w:asciiTheme="minorHAnsi" w:hAnsiTheme="minorHAnsi" w:cstheme="minorHAnsi"/>
          <w:lang w:val="es-ES"/>
        </w:rPr>
        <w:t xml:space="preserve"> a</w:t>
      </w:r>
      <w:r w:rsidR="00776785" w:rsidRPr="009D593A">
        <w:rPr>
          <w:rFonts w:asciiTheme="minorHAnsi" w:hAnsiTheme="minorHAnsi" w:cstheme="minorHAnsi"/>
          <w:lang w:val="es-ES"/>
        </w:rPr>
        <w:t>l Estado de</w:t>
      </w:r>
      <w:r w:rsidR="004C5C64" w:rsidRPr="009D593A">
        <w:rPr>
          <w:rFonts w:asciiTheme="minorHAnsi" w:hAnsiTheme="minorHAnsi" w:cstheme="minorHAnsi"/>
          <w:lang w:val="es-ES"/>
        </w:rPr>
        <w:t xml:space="preserve"> Guatemala </w:t>
      </w:r>
      <w:r w:rsidR="00776785" w:rsidRPr="009D593A">
        <w:rPr>
          <w:rFonts w:asciiTheme="minorHAnsi" w:hAnsiTheme="minorHAnsi" w:cstheme="minorHAnsi"/>
          <w:lang w:val="es-ES"/>
        </w:rPr>
        <w:t xml:space="preserve">para </w:t>
      </w:r>
      <w:r w:rsidR="004C5C64" w:rsidRPr="009D593A">
        <w:rPr>
          <w:rFonts w:asciiTheme="minorHAnsi" w:hAnsiTheme="minorHAnsi" w:cstheme="minorHAnsi"/>
          <w:lang w:val="es-ES"/>
        </w:rPr>
        <w:t xml:space="preserve">que proteja a </w:t>
      </w:r>
      <w:r w:rsidR="00776785" w:rsidRPr="009D593A">
        <w:rPr>
          <w:rFonts w:asciiTheme="minorHAnsi" w:hAnsiTheme="minorHAnsi" w:cstheme="minorHAnsi"/>
          <w:lang w:val="es-ES"/>
        </w:rPr>
        <w:t xml:space="preserve">las y </w:t>
      </w:r>
      <w:r w:rsidR="004C5C64" w:rsidRPr="009D593A">
        <w:rPr>
          <w:rFonts w:asciiTheme="minorHAnsi" w:hAnsiTheme="minorHAnsi" w:cstheme="minorHAnsi"/>
          <w:lang w:val="es-ES"/>
        </w:rPr>
        <w:t xml:space="preserve">los </w:t>
      </w:r>
      <w:r w:rsidR="00776785" w:rsidRPr="009D593A">
        <w:rPr>
          <w:rFonts w:asciiTheme="minorHAnsi" w:hAnsiTheme="minorHAnsi" w:cstheme="minorHAnsi"/>
          <w:lang w:val="es-ES"/>
        </w:rPr>
        <w:t>pacientes detenidos</w:t>
      </w:r>
      <w:r w:rsidR="004C5C64" w:rsidRPr="009D593A">
        <w:rPr>
          <w:rFonts w:asciiTheme="minorHAnsi" w:hAnsiTheme="minorHAnsi" w:cstheme="minorHAnsi"/>
          <w:lang w:val="es-ES"/>
        </w:rPr>
        <w:t xml:space="preserve"> </w:t>
      </w:r>
      <w:r w:rsidR="00776785" w:rsidRPr="009D593A">
        <w:rPr>
          <w:rFonts w:asciiTheme="minorHAnsi" w:hAnsiTheme="minorHAnsi" w:cstheme="minorHAnsi"/>
          <w:lang w:val="es-ES"/>
        </w:rPr>
        <w:t xml:space="preserve">en </w:t>
      </w:r>
      <w:r w:rsidR="004C5C64" w:rsidRPr="009D593A">
        <w:rPr>
          <w:rFonts w:asciiTheme="minorHAnsi" w:hAnsiTheme="minorHAnsi" w:cstheme="minorHAnsi"/>
          <w:lang w:val="es-ES"/>
        </w:rPr>
        <w:t>e</w:t>
      </w:r>
      <w:r w:rsidR="00776785" w:rsidRPr="009D593A">
        <w:rPr>
          <w:rFonts w:asciiTheme="minorHAnsi" w:hAnsiTheme="minorHAnsi" w:cstheme="minorHAnsi"/>
          <w:lang w:val="es-ES"/>
        </w:rPr>
        <w:t>l</w:t>
      </w:r>
      <w:r w:rsidR="004C5C64" w:rsidRPr="009D593A">
        <w:rPr>
          <w:rFonts w:asciiTheme="minorHAnsi" w:hAnsiTheme="minorHAnsi" w:cstheme="minorHAnsi"/>
          <w:lang w:val="es-ES"/>
        </w:rPr>
        <w:t xml:space="preserve"> </w:t>
      </w:r>
      <w:r w:rsidR="00776785" w:rsidRPr="009D593A">
        <w:rPr>
          <w:rFonts w:asciiTheme="minorHAnsi" w:hAnsiTheme="minorHAnsi" w:cstheme="minorHAnsi"/>
          <w:lang w:val="es-ES"/>
        </w:rPr>
        <w:t>“</w:t>
      </w:r>
      <w:r w:rsidR="004C5C64" w:rsidRPr="009D593A">
        <w:rPr>
          <w:rFonts w:asciiTheme="minorHAnsi" w:hAnsiTheme="minorHAnsi" w:cstheme="minorHAnsi"/>
          <w:lang w:val="es-ES"/>
        </w:rPr>
        <w:t>Federico Mora</w:t>
      </w:r>
      <w:r w:rsidR="00776785" w:rsidRPr="009D593A">
        <w:rPr>
          <w:rFonts w:asciiTheme="minorHAnsi" w:hAnsiTheme="minorHAnsi" w:cstheme="minorHAnsi"/>
          <w:lang w:val="es-ES"/>
        </w:rPr>
        <w:t>”</w:t>
      </w:r>
      <w:r w:rsidR="004C5C64" w:rsidRPr="009D593A">
        <w:rPr>
          <w:rFonts w:asciiTheme="minorHAnsi" w:hAnsiTheme="minorHAnsi" w:cstheme="minorHAnsi"/>
          <w:lang w:val="es-ES"/>
        </w:rPr>
        <w:t xml:space="preserve"> de la exposición al virus que pone en peligro </w:t>
      </w:r>
      <w:r w:rsidR="00776785" w:rsidRPr="009D593A">
        <w:rPr>
          <w:rFonts w:asciiTheme="minorHAnsi" w:hAnsiTheme="minorHAnsi" w:cstheme="minorHAnsi"/>
          <w:lang w:val="es-ES"/>
        </w:rPr>
        <w:t>su</w:t>
      </w:r>
      <w:r w:rsidR="004C5C64" w:rsidRPr="009D593A">
        <w:rPr>
          <w:rFonts w:asciiTheme="minorHAnsi" w:hAnsiTheme="minorHAnsi" w:cstheme="minorHAnsi"/>
          <w:lang w:val="es-ES"/>
        </w:rPr>
        <w:t xml:space="preserve"> vida, garantizando el aislamiento socia</w:t>
      </w:r>
      <w:r w:rsidR="00A34706">
        <w:rPr>
          <w:rFonts w:asciiTheme="minorHAnsi" w:hAnsiTheme="minorHAnsi" w:cstheme="minorHAnsi"/>
          <w:lang w:val="es-ES"/>
        </w:rPr>
        <w:t>l, la</w:t>
      </w:r>
      <w:r w:rsidR="004C5C64" w:rsidRPr="009D593A">
        <w:rPr>
          <w:rFonts w:asciiTheme="minorHAnsi" w:hAnsiTheme="minorHAnsi" w:cstheme="minorHAnsi"/>
          <w:lang w:val="es-ES"/>
        </w:rPr>
        <w:t xml:space="preserve"> atención médica y los servicios </w:t>
      </w:r>
      <w:r w:rsidR="00574D97">
        <w:rPr>
          <w:rFonts w:asciiTheme="minorHAnsi" w:hAnsiTheme="minorHAnsi" w:cstheme="minorHAnsi"/>
          <w:lang w:val="es-ES"/>
        </w:rPr>
        <w:t xml:space="preserve">en la comunidad </w:t>
      </w:r>
      <w:r w:rsidR="00776785" w:rsidRPr="009D593A">
        <w:rPr>
          <w:rFonts w:asciiTheme="minorHAnsi" w:hAnsiTheme="minorHAnsi" w:cstheme="minorHAnsi"/>
          <w:lang w:val="es-ES"/>
        </w:rPr>
        <w:t>necesarios</w:t>
      </w:r>
      <w:r w:rsidR="004C5C64" w:rsidRPr="009D593A">
        <w:rPr>
          <w:rFonts w:asciiTheme="minorHAnsi" w:hAnsiTheme="minorHAnsi" w:cstheme="minorHAnsi"/>
          <w:lang w:val="es-ES"/>
        </w:rPr>
        <w:t xml:space="preserve"> para </w:t>
      </w:r>
      <w:r w:rsidR="00776785" w:rsidRPr="009D593A">
        <w:rPr>
          <w:rFonts w:asciiTheme="minorHAnsi" w:hAnsiTheme="minorHAnsi" w:cstheme="minorHAnsi"/>
          <w:lang w:val="es-ES"/>
        </w:rPr>
        <w:t>su</w:t>
      </w:r>
      <w:r w:rsidR="004C5C64" w:rsidRPr="009D593A">
        <w:rPr>
          <w:rFonts w:asciiTheme="minorHAnsi" w:hAnsiTheme="minorHAnsi" w:cstheme="minorHAnsi"/>
          <w:lang w:val="es-ES"/>
        </w:rPr>
        <w:t xml:space="preserve"> discapacidad. En consonancia con la recomendación de</w:t>
      </w:r>
      <w:r w:rsidR="00A34706">
        <w:rPr>
          <w:rFonts w:asciiTheme="minorHAnsi" w:hAnsiTheme="minorHAnsi" w:cstheme="minorHAnsi"/>
          <w:lang w:val="es-ES"/>
        </w:rPr>
        <w:t>l</w:t>
      </w:r>
      <w:r w:rsidR="004C5C64" w:rsidRPr="009D593A">
        <w:rPr>
          <w:rFonts w:asciiTheme="minorHAnsi" w:hAnsiTheme="minorHAnsi" w:cstheme="minorHAnsi"/>
          <w:lang w:val="es-ES"/>
        </w:rPr>
        <w:t xml:space="preserve"> Alt</w:t>
      </w:r>
      <w:r w:rsidR="00A34706">
        <w:rPr>
          <w:rFonts w:asciiTheme="minorHAnsi" w:hAnsiTheme="minorHAnsi" w:cstheme="minorHAnsi"/>
          <w:lang w:val="es-ES"/>
        </w:rPr>
        <w:t>o</w:t>
      </w:r>
      <w:r w:rsidR="004C5C64" w:rsidRPr="009D593A">
        <w:rPr>
          <w:rFonts w:asciiTheme="minorHAnsi" w:hAnsiTheme="minorHAnsi" w:cstheme="minorHAnsi"/>
          <w:lang w:val="es-ES"/>
        </w:rPr>
        <w:t xml:space="preserve"> Comisionad</w:t>
      </w:r>
      <w:r w:rsidR="00A34706">
        <w:rPr>
          <w:rFonts w:asciiTheme="minorHAnsi" w:hAnsiTheme="minorHAnsi" w:cstheme="minorHAnsi"/>
          <w:lang w:val="es-ES"/>
        </w:rPr>
        <w:t>o</w:t>
      </w:r>
      <w:r w:rsidR="004C5C64" w:rsidRPr="009D593A">
        <w:rPr>
          <w:rFonts w:asciiTheme="minorHAnsi" w:hAnsiTheme="minorHAnsi" w:cstheme="minorHAnsi"/>
          <w:lang w:val="es-ES"/>
        </w:rPr>
        <w:t xml:space="preserve"> </w:t>
      </w:r>
      <w:r w:rsidR="00776785" w:rsidRPr="009D593A">
        <w:rPr>
          <w:rFonts w:asciiTheme="minorHAnsi" w:hAnsiTheme="minorHAnsi" w:cstheme="minorHAnsi"/>
          <w:lang w:val="es-ES"/>
        </w:rPr>
        <w:t xml:space="preserve">para los Derechos </w:t>
      </w:r>
      <w:r w:rsidR="004C5C64" w:rsidRPr="009D593A">
        <w:rPr>
          <w:rFonts w:asciiTheme="minorHAnsi" w:hAnsiTheme="minorHAnsi" w:cstheme="minorHAnsi"/>
          <w:lang w:val="es-ES"/>
        </w:rPr>
        <w:t>Humano</w:t>
      </w:r>
      <w:r w:rsidR="00776785" w:rsidRPr="009D593A">
        <w:rPr>
          <w:rFonts w:asciiTheme="minorHAnsi" w:hAnsiTheme="minorHAnsi" w:cstheme="minorHAnsi"/>
          <w:lang w:val="es-ES"/>
        </w:rPr>
        <w:t>s</w:t>
      </w:r>
      <w:r w:rsidR="004C5C64" w:rsidRPr="009D593A">
        <w:rPr>
          <w:rFonts w:asciiTheme="minorHAnsi" w:hAnsiTheme="minorHAnsi" w:cstheme="minorHAnsi"/>
          <w:lang w:val="es-ES"/>
        </w:rPr>
        <w:t xml:space="preserve"> de las Naciones Unidas de que los gobiernos </w:t>
      </w:r>
      <w:r w:rsidR="00776785" w:rsidRPr="009D593A">
        <w:rPr>
          <w:rFonts w:asciiTheme="minorHAnsi" w:hAnsiTheme="minorHAnsi" w:cstheme="minorHAnsi"/>
          <w:lang w:val="es-ES"/>
        </w:rPr>
        <w:t xml:space="preserve">“[den] de alta y </w:t>
      </w:r>
      <w:proofErr w:type="spellStart"/>
      <w:r w:rsidR="00776785" w:rsidRPr="009D593A">
        <w:rPr>
          <w:rFonts w:asciiTheme="minorHAnsi" w:hAnsiTheme="minorHAnsi" w:cstheme="minorHAnsi"/>
          <w:lang w:val="es-ES"/>
        </w:rPr>
        <w:t>liber</w:t>
      </w:r>
      <w:proofErr w:type="spellEnd"/>
      <w:r w:rsidR="00776785" w:rsidRPr="009D593A">
        <w:rPr>
          <w:rFonts w:asciiTheme="minorHAnsi" w:hAnsiTheme="minorHAnsi" w:cstheme="minorHAnsi"/>
          <w:lang w:val="es-ES"/>
        </w:rPr>
        <w:t xml:space="preserve">[en] a las personas con discapacidad de las instituciones y </w:t>
      </w:r>
      <w:proofErr w:type="spellStart"/>
      <w:r w:rsidR="00776785" w:rsidRPr="009D593A">
        <w:rPr>
          <w:rFonts w:asciiTheme="minorHAnsi" w:hAnsiTheme="minorHAnsi" w:cstheme="minorHAnsi"/>
          <w:lang w:val="es-ES"/>
        </w:rPr>
        <w:t>garanti</w:t>
      </w:r>
      <w:proofErr w:type="spellEnd"/>
      <w:r w:rsidR="00776785" w:rsidRPr="009D593A">
        <w:rPr>
          <w:rFonts w:asciiTheme="minorHAnsi" w:hAnsiTheme="minorHAnsi" w:cstheme="minorHAnsi"/>
          <w:lang w:val="es-ES"/>
        </w:rPr>
        <w:t>[</w:t>
      </w:r>
      <w:proofErr w:type="spellStart"/>
      <w:r w:rsidR="00776785" w:rsidRPr="009D593A">
        <w:rPr>
          <w:rFonts w:asciiTheme="minorHAnsi" w:hAnsiTheme="minorHAnsi" w:cstheme="minorHAnsi"/>
          <w:lang w:val="es-ES"/>
        </w:rPr>
        <w:t>cen</w:t>
      </w:r>
      <w:proofErr w:type="spellEnd"/>
      <w:r w:rsidR="00776785" w:rsidRPr="009D593A">
        <w:rPr>
          <w:rFonts w:asciiTheme="minorHAnsi" w:hAnsiTheme="minorHAnsi" w:cstheme="minorHAnsi"/>
          <w:lang w:val="es-ES"/>
        </w:rPr>
        <w:t>] rápidamente la prestación de</w:t>
      </w:r>
      <w:r w:rsidR="00A34706">
        <w:rPr>
          <w:rFonts w:asciiTheme="minorHAnsi" w:hAnsiTheme="minorHAnsi" w:cstheme="minorHAnsi"/>
          <w:lang w:val="es-ES"/>
        </w:rPr>
        <w:t xml:space="preserve"> servicios</w:t>
      </w:r>
      <w:r w:rsidR="00776785" w:rsidRPr="009D593A">
        <w:rPr>
          <w:rFonts w:asciiTheme="minorHAnsi" w:hAnsiTheme="minorHAnsi" w:cstheme="minorHAnsi"/>
          <w:lang w:val="es-ES"/>
        </w:rPr>
        <w:t xml:space="preserve"> en la comunidad a través de redes familiares y/o redes informales</w:t>
      </w:r>
      <w:r w:rsidR="00776785" w:rsidRPr="009D593A">
        <w:rPr>
          <w:rFonts w:asciiTheme="minorHAnsi" w:hAnsiTheme="minorHAnsi" w:cstheme="minorHAnsi"/>
        </w:rPr>
        <w:t>”</w:t>
      </w:r>
      <w:r w:rsidR="00776785" w:rsidRPr="009D593A">
        <w:rPr>
          <w:rFonts w:asciiTheme="minorHAnsi" w:hAnsiTheme="minorHAnsi" w:cstheme="minorHAnsi"/>
          <w:vertAlign w:val="superscript"/>
        </w:rPr>
        <w:footnoteReference w:id="1"/>
      </w:r>
      <w:r w:rsidR="004C5C64" w:rsidRPr="009D593A">
        <w:rPr>
          <w:rFonts w:asciiTheme="minorHAnsi" w:hAnsiTheme="minorHAnsi" w:cstheme="minorHAnsi"/>
          <w:lang w:val="es-ES"/>
        </w:rPr>
        <w:t xml:space="preserve">, solicitamos </w:t>
      </w:r>
      <w:r w:rsidR="00B07444" w:rsidRPr="009D593A">
        <w:rPr>
          <w:rFonts w:asciiTheme="minorHAnsi" w:hAnsiTheme="minorHAnsi" w:cstheme="minorHAnsi"/>
          <w:lang w:val="es-ES"/>
        </w:rPr>
        <w:t xml:space="preserve">amablemente </w:t>
      </w:r>
      <w:r w:rsidR="004C5C64" w:rsidRPr="009D593A">
        <w:rPr>
          <w:rFonts w:asciiTheme="minorHAnsi" w:hAnsiTheme="minorHAnsi" w:cstheme="minorHAnsi"/>
          <w:lang w:val="es-ES"/>
        </w:rPr>
        <w:t xml:space="preserve">a la Comisión que </w:t>
      </w:r>
      <w:r w:rsidR="003E1A0A" w:rsidRPr="009D593A">
        <w:rPr>
          <w:rFonts w:asciiTheme="minorHAnsi" w:hAnsiTheme="minorHAnsi" w:cstheme="minorHAnsi"/>
          <w:lang w:val="es-ES"/>
        </w:rPr>
        <w:t>requiera</w:t>
      </w:r>
      <w:r w:rsidR="004C5C64" w:rsidRPr="009D593A">
        <w:rPr>
          <w:rFonts w:asciiTheme="minorHAnsi" w:hAnsiTheme="minorHAnsi" w:cstheme="minorHAnsi"/>
          <w:lang w:val="es-ES"/>
        </w:rPr>
        <w:t xml:space="preserve"> a</w:t>
      </w:r>
      <w:r w:rsidR="003E1A0A" w:rsidRPr="009D593A">
        <w:rPr>
          <w:rFonts w:asciiTheme="minorHAnsi" w:hAnsiTheme="minorHAnsi" w:cstheme="minorHAnsi"/>
          <w:lang w:val="es-ES"/>
        </w:rPr>
        <w:t>l</w:t>
      </w:r>
      <w:r w:rsidR="004C5C64" w:rsidRPr="009D593A">
        <w:rPr>
          <w:rFonts w:asciiTheme="minorHAnsi" w:hAnsiTheme="minorHAnsi" w:cstheme="minorHAnsi"/>
          <w:lang w:val="es-ES"/>
        </w:rPr>
        <w:t xml:space="preserve"> </w:t>
      </w:r>
      <w:r w:rsidR="003E1A0A" w:rsidRPr="009D593A">
        <w:rPr>
          <w:rFonts w:asciiTheme="minorHAnsi" w:hAnsiTheme="minorHAnsi" w:cstheme="minorHAnsi"/>
          <w:lang w:val="es-ES"/>
        </w:rPr>
        <w:t xml:space="preserve">Estado </w:t>
      </w:r>
      <w:r w:rsidR="004C5C64" w:rsidRPr="009D593A">
        <w:rPr>
          <w:rFonts w:asciiTheme="minorHAnsi" w:hAnsiTheme="minorHAnsi" w:cstheme="minorHAnsi"/>
          <w:lang w:val="es-ES"/>
        </w:rPr>
        <w:t xml:space="preserve">que transfiera a las personas ahora detenidas en </w:t>
      </w:r>
      <w:r w:rsidR="00A34706">
        <w:rPr>
          <w:rFonts w:asciiTheme="minorHAnsi" w:hAnsiTheme="minorHAnsi" w:cstheme="minorHAnsi"/>
          <w:lang w:val="es-ES"/>
        </w:rPr>
        <w:t xml:space="preserve">el </w:t>
      </w:r>
      <w:r w:rsidR="003E1A0A" w:rsidRPr="009D593A">
        <w:rPr>
          <w:rFonts w:asciiTheme="minorHAnsi" w:hAnsiTheme="minorHAnsi" w:cstheme="minorHAnsi"/>
          <w:lang w:val="es-ES"/>
        </w:rPr>
        <w:t>“</w:t>
      </w:r>
      <w:r w:rsidR="004C5C64" w:rsidRPr="009D593A">
        <w:rPr>
          <w:rFonts w:asciiTheme="minorHAnsi" w:hAnsiTheme="minorHAnsi" w:cstheme="minorHAnsi"/>
          <w:lang w:val="es-ES"/>
        </w:rPr>
        <w:t>Federico Mora</w:t>
      </w:r>
      <w:r w:rsidR="003E1A0A" w:rsidRPr="009D593A">
        <w:rPr>
          <w:rFonts w:asciiTheme="minorHAnsi" w:hAnsiTheme="minorHAnsi" w:cstheme="minorHAnsi"/>
          <w:lang w:val="es-ES"/>
        </w:rPr>
        <w:t>”</w:t>
      </w:r>
      <w:r w:rsidR="00574D97">
        <w:rPr>
          <w:rFonts w:asciiTheme="minorHAnsi" w:hAnsiTheme="minorHAnsi" w:cstheme="minorHAnsi"/>
          <w:lang w:val="es-ES"/>
        </w:rPr>
        <w:t xml:space="preserve"> a</w:t>
      </w:r>
      <w:r w:rsidR="004C5C64" w:rsidRPr="009D593A">
        <w:rPr>
          <w:rFonts w:asciiTheme="minorHAnsi" w:hAnsiTheme="minorHAnsi" w:cstheme="minorHAnsi"/>
          <w:lang w:val="es-ES"/>
        </w:rPr>
        <w:t xml:space="preserve"> un entorno comunitario seguro</w:t>
      </w:r>
      <w:r w:rsidR="00574D97">
        <w:rPr>
          <w:rFonts w:asciiTheme="minorHAnsi" w:hAnsiTheme="minorHAnsi" w:cstheme="minorHAnsi"/>
          <w:lang w:val="es-ES"/>
        </w:rPr>
        <w:t xml:space="preserve">, </w:t>
      </w:r>
      <w:r w:rsidR="00574D97" w:rsidRPr="009D593A">
        <w:rPr>
          <w:rFonts w:asciiTheme="minorHAnsi" w:hAnsiTheme="minorHAnsi" w:cstheme="minorHAnsi"/>
          <w:lang w:val="es-ES"/>
        </w:rPr>
        <w:t xml:space="preserve">fuera de las instalaciones del </w:t>
      </w:r>
      <w:r w:rsidR="00574D97" w:rsidRPr="009D593A">
        <w:rPr>
          <w:rFonts w:asciiTheme="minorHAnsi" w:hAnsiTheme="minorHAnsi" w:cstheme="minorHAnsi"/>
          <w:lang w:val="es-ES"/>
        </w:rPr>
        <w:lastRenderedPageBreak/>
        <w:t>hospital</w:t>
      </w:r>
      <w:r w:rsidR="00A34706">
        <w:rPr>
          <w:rFonts w:asciiTheme="minorHAnsi" w:hAnsiTheme="minorHAnsi" w:cstheme="minorHAnsi"/>
          <w:lang w:val="es-ES"/>
        </w:rPr>
        <w:t xml:space="preserve">. </w:t>
      </w:r>
      <w:r w:rsidR="00574D97">
        <w:rPr>
          <w:rFonts w:asciiTheme="minorHAnsi" w:hAnsiTheme="minorHAnsi" w:cstheme="minorHAnsi"/>
          <w:lang w:val="es-ES"/>
        </w:rPr>
        <w:t>Con este fin,</w:t>
      </w:r>
      <w:r w:rsidR="00A34706">
        <w:rPr>
          <w:rFonts w:asciiTheme="minorHAnsi" w:hAnsiTheme="minorHAnsi" w:cstheme="minorHAnsi"/>
          <w:lang w:val="es-ES"/>
        </w:rPr>
        <w:t xml:space="preserve"> es necesari</w:t>
      </w:r>
      <w:r w:rsidR="00574D97">
        <w:rPr>
          <w:rFonts w:asciiTheme="minorHAnsi" w:hAnsiTheme="minorHAnsi" w:cstheme="minorHAnsi"/>
          <w:lang w:val="es-ES"/>
        </w:rPr>
        <w:t>o que el Estado también provea de manera</w:t>
      </w:r>
      <w:r w:rsidR="004C5C64" w:rsidRPr="009D593A">
        <w:rPr>
          <w:rFonts w:asciiTheme="minorHAnsi" w:hAnsiTheme="minorHAnsi" w:cstheme="minorHAnsi"/>
          <w:lang w:val="es-ES"/>
        </w:rPr>
        <w:t xml:space="preserve"> urgente</w:t>
      </w:r>
      <w:r w:rsidR="00574D97">
        <w:rPr>
          <w:rFonts w:asciiTheme="minorHAnsi" w:hAnsiTheme="minorHAnsi" w:cstheme="minorHAnsi"/>
          <w:lang w:val="es-ES"/>
        </w:rPr>
        <w:t xml:space="preserve"> e inmediata</w:t>
      </w:r>
      <w:r w:rsidR="004C5C64" w:rsidRPr="009D593A">
        <w:rPr>
          <w:rFonts w:asciiTheme="minorHAnsi" w:hAnsiTheme="minorHAnsi" w:cstheme="minorHAnsi"/>
          <w:lang w:val="es-ES"/>
        </w:rPr>
        <w:t xml:space="preserve"> viviendas</w:t>
      </w:r>
      <w:r w:rsidR="00A34706">
        <w:rPr>
          <w:rFonts w:asciiTheme="minorHAnsi" w:hAnsiTheme="minorHAnsi" w:cstheme="minorHAnsi"/>
          <w:lang w:val="es-ES"/>
        </w:rPr>
        <w:t xml:space="preserve"> y servicios</w:t>
      </w:r>
      <w:r w:rsidR="004C5C64" w:rsidRPr="009D593A">
        <w:rPr>
          <w:rFonts w:asciiTheme="minorHAnsi" w:hAnsiTheme="minorHAnsi" w:cstheme="minorHAnsi"/>
          <w:lang w:val="es-ES"/>
        </w:rPr>
        <w:t xml:space="preserve"> en la comunidad</w:t>
      </w:r>
      <w:r w:rsidRPr="009D593A">
        <w:rPr>
          <w:rFonts w:asciiTheme="minorHAnsi" w:hAnsiTheme="minorHAnsi" w:cstheme="minorHAnsi"/>
        </w:rPr>
        <w:t>.</w:t>
      </w:r>
    </w:p>
    <w:p w14:paraId="687BC0C4" w14:textId="6E9F1523" w:rsidR="0030741F" w:rsidRPr="009D593A" w:rsidRDefault="0030741F" w:rsidP="00D90914">
      <w:pPr>
        <w:spacing w:after="0" w:line="240" w:lineRule="auto"/>
        <w:jc w:val="both"/>
        <w:rPr>
          <w:rFonts w:asciiTheme="minorHAnsi" w:hAnsiTheme="minorHAnsi" w:cstheme="minorHAnsi"/>
        </w:rPr>
      </w:pPr>
    </w:p>
    <w:p w14:paraId="30645596" w14:textId="41F8557D" w:rsidR="001226FE" w:rsidRPr="009D593A" w:rsidRDefault="001226FE" w:rsidP="004E2F37">
      <w:pPr>
        <w:pStyle w:val="ListParagraph"/>
        <w:numPr>
          <w:ilvl w:val="0"/>
          <w:numId w:val="1"/>
        </w:numPr>
        <w:spacing w:after="0" w:line="240" w:lineRule="auto"/>
        <w:jc w:val="both"/>
        <w:rPr>
          <w:rFonts w:asciiTheme="minorHAnsi" w:hAnsiTheme="minorHAnsi" w:cstheme="minorHAnsi"/>
          <w:b/>
        </w:rPr>
      </w:pPr>
      <w:r w:rsidRPr="009D593A">
        <w:rPr>
          <w:rFonts w:asciiTheme="minorHAnsi" w:hAnsiTheme="minorHAnsi" w:cstheme="minorHAnsi"/>
          <w:b/>
        </w:rPr>
        <w:t>ARGUMENTOS PARA LA EXTENSIÓN</w:t>
      </w:r>
      <w:r w:rsidR="00340F7F" w:rsidRPr="009D593A">
        <w:rPr>
          <w:rFonts w:asciiTheme="minorHAnsi" w:hAnsiTheme="minorHAnsi" w:cstheme="minorHAnsi"/>
          <w:b/>
        </w:rPr>
        <w:t xml:space="preserve"> DE LAS MEDIDAS CAUTELARES</w:t>
      </w:r>
    </w:p>
    <w:p w14:paraId="7012CE41" w14:textId="1C7F807D" w:rsidR="001226FE" w:rsidRPr="009D593A" w:rsidRDefault="001226FE" w:rsidP="001226FE">
      <w:pPr>
        <w:spacing w:after="0" w:line="240" w:lineRule="auto"/>
        <w:jc w:val="both"/>
        <w:rPr>
          <w:rFonts w:asciiTheme="minorHAnsi" w:hAnsiTheme="minorHAnsi" w:cstheme="minorHAnsi"/>
          <w:b/>
        </w:rPr>
      </w:pPr>
    </w:p>
    <w:p w14:paraId="26B5EE0E" w14:textId="29C72707" w:rsidR="00BB2AAF" w:rsidRPr="009D593A" w:rsidRDefault="00BB2AAF" w:rsidP="004E2F37">
      <w:pPr>
        <w:pStyle w:val="ListParagraph"/>
        <w:numPr>
          <w:ilvl w:val="1"/>
          <w:numId w:val="1"/>
        </w:numPr>
        <w:spacing w:after="0" w:line="240" w:lineRule="auto"/>
        <w:jc w:val="both"/>
        <w:rPr>
          <w:rFonts w:asciiTheme="minorHAnsi" w:hAnsiTheme="minorHAnsi" w:cstheme="minorHAnsi"/>
          <w:b/>
        </w:rPr>
      </w:pPr>
      <w:r w:rsidRPr="009D593A">
        <w:rPr>
          <w:rFonts w:asciiTheme="minorHAnsi" w:hAnsiTheme="minorHAnsi" w:cstheme="minorHAnsi"/>
          <w:b/>
        </w:rPr>
        <w:t>PROPAGACIÓN RÁPIDA DEL COVID-19 Y ALTA TASA DE MORTALIDAD EN INSTITUCIONES DE CARACTER RESIDENCIAL</w:t>
      </w:r>
    </w:p>
    <w:p w14:paraId="6270EC09" w14:textId="77777777" w:rsidR="001226FE" w:rsidRPr="009D593A" w:rsidRDefault="001226FE" w:rsidP="001226FE">
      <w:pPr>
        <w:spacing w:after="0" w:line="240" w:lineRule="auto"/>
        <w:jc w:val="both"/>
        <w:rPr>
          <w:rFonts w:asciiTheme="minorHAnsi" w:hAnsiTheme="minorHAnsi" w:cstheme="minorHAnsi"/>
          <w:b/>
        </w:rPr>
      </w:pPr>
    </w:p>
    <w:p w14:paraId="001F2BF0" w14:textId="5B4A4F20" w:rsidR="00473E79" w:rsidRPr="009D593A" w:rsidRDefault="00473E79" w:rsidP="00473E79">
      <w:pPr>
        <w:spacing w:after="0" w:line="240" w:lineRule="auto"/>
        <w:jc w:val="both"/>
        <w:rPr>
          <w:rFonts w:asciiTheme="minorHAnsi" w:hAnsiTheme="minorHAnsi" w:cstheme="minorHAnsi"/>
        </w:rPr>
      </w:pPr>
      <w:r w:rsidRPr="009D593A">
        <w:rPr>
          <w:rFonts w:asciiTheme="minorHAnsi" w:hAnsiTheme="minorHAnsi" w:cstheme="minorHAnsi"/>
        </w:rPr>
        <w:t>De acuerdo con la Organización Mundial de la Salud (OMS), el virus denominado COVID-19 es una enfermedad que “causa infecciones respiratorias que pueden ir desde el resfriado común hasta enfermedades más graves como el síndrome respiratorio de Oriente Medio (MERS) y el síndrome respiratorio agudo severo (SRAS)”</w:t>
      </w:r>
      <w:r w:rsidRPr="009D593A">
        <w:rPr>
          <w:rFonts w:asciiTheme="minorHAnsi" w:hAnsiTheme="minorHAnsi" w:cstheme="minorHAnsi"/>
          <w:vertAlign w:val="superscript"/>
        </w:rPr>
        <w:footnoteReference w:id="2"/>
      </w:r>
      <w:r w:rsidRPr="009D593A">
        <w:rPr>
          <w:rFonts w:asciiTheme="minorHAnsi" w:hAnsiTheme="minorHAnsi" w:cstheme="minorHAnsi"/>
        </w:rPr>
        <w:t>. La OMS ha señalado que “[l]as personas con discapacidad pueden correr un riesgo mayor de contraer COVID-19”</w:t>
      </w:r>
      <w:r w:rsidRPr="009D593A">
        <w:rPr>
          <w:rFonts w:asciiTheme="minorHAnsi" w:hAnsiTheme="minorHAnsi" w:cstheme="minorHAnsi"/>
          <w:vertAlign w:val="superscript"/>
        </w:rPr>
        <w:footnoteReference w:id="3"/>
      </w:r>
      <w:r w:rsidRPr="009D593A">
        <w:rPr>
          <w:rFonts w:asciiTheme="minorHAnsi" w:hAnsiTheme="minorHAnsi" w:cstheme="minorHAnsi"/>
        </w:rPr>
        <w:t xml:space="preserve">. </w:t>
      </w:r>
      <w:r w:rsidRPr="009D593A">
        <w:rPr>
          <w:rFonts w:asciiTheme="minorHAnsi" w:hAnsiTheme="minorHAnsi" w:cstheme="minorHAnsi"/>
          <w:lang w:val="es-ES"/>
        </w:rPr>
        <w:t xml:space="preserve">Las personas con discapacidad detenidas en instituciones residenciales </w:t>
      </w:r>
      <w:r w:rsidR="00574D97">
        <w:rPr>
          <w:rFonts w:asciiTheme="minorHAnsi" w:hAnsiTheme="minorHAnsi" w:cstheme="minorHAnsi"/>
          <w:lang w:val="es-ES"/>
        </w:rPr>
        <w:t>corren</w:t>
      </w:r>
      <w:r w:rsidRPr="009D593A">
        <w:rPr>
          <w:rFonts w:asciiTheme="minorHAnsi" w:hAnsiTheme="minorHAnsi" w:cstheme="minorHAnsi"/>
          <w:lang w:val="es-ES"/>
        </w:rPr>
        <w:t xml:space="preserve"> un riesgo aún mayor de contraer el virus</w:t>
      </w:r>
      <w:r w:rsidRPr="009D593A">
        <w:rPr>
          <w:rFonts w:asciiTheme="minorHAnsi" w:hAnsiTheme="minorHAnsi" w:cstheme="minorHAnsi"/>
        </w:rPr>
        <w:t xml:space="preserve">. Al respecto, la </w:t>
      </w:r>
      <w:r w:rsidR="005D423B" w:rsidRPr="009D593A">
        <w:rPr>
          <w:rFonts w:asciiTheme="minorHAnsi" w:hAnsiTheme="minorHAnsi" w:cstheme="minorHAnsi"/>
        </w:rPr>
        <w:t>R</w:t>
      </w:r>
      <w:r w:rsidRPr="009D593A">
        <w:rPr>
          <w:rFonts w:asciiTheme="minorHAnsi" w:hAnsiTheme="minorHAnsi" w:cstheme="minorHAnsi"/>
        </w:rPr>
        <w:t>elatora especial de sobre los derechos de personas con discapacidad de la ONU, Catalina Devandas, ha señalado que:</w:t>
      </w:r>
    </w:p>
    <w:p w14:paraId="67FADC2B" w14:textId="28F7F01D" w:rsidR="0030741F" w:rsidRPr="009D593A" w:rsidRDefault="0030741F" w:rsidP="00D90914">
      <w:pPr>
        <w:spacing w:after="0" w:line="240" w:lineRule="auto"/>
        <w:jc w:val="both"/>
        <w:rPr>
          <w:rFonts w:asciiTheme="minorHAnsi" w:hAnsiTheme="minorHAnsi" w:cstheme="minorHAnsi"/>
        </w:rPr>
      </w:pPr>
    </w:p>
    <w:p w14:paraId="41773304" w14:textId="643B7DD2" w:rsidR="00473E79" w:rsidRPr="009D593A" w:rsidRDefault="00473E79" w:rsidP="00473E79">
      <w:pPr>
        <w:spacing w:after="0" w:line="240" w:lineRule="auto"/>
        <w:ind w:left="1140" w:right="1140"/>
        <w:jc w:val="both"/>
        <w:rPr>
          <w:rFonts w:asciiTheme="minorHAnsi" w:hAnsiTheme="minorHAnsi" w:cstheme="minorHAnsi"/>
        </w:rPr>
      </w:pPr>
      <w:r w:rsidRPr="009D593A">
        <w:rPr>
          <w:rFonts w:asciiTheme="minorHAnsi" w:hAnsiTheme="minorHAnsi" w:cstheme="minorHAnsi"/>
        </w:rPr>
        <w:t>“</w:t>
      </w:r>
      <w:r w:rsidR="001B119B" w:rsidRPr="009D593A">
        <w:rPr>
          <w:rFonts w:asciiTheme="minorHAnsi" w:hAnsiTheme="minorHAnsi" w:cstheme="minorHAnsi"/>
        </w:rPr>
        <w:t>L</w:t>
      </w:r>
      <w:r w:rsidRPr="009D593A">
        <w:rPr>
          <w:rFonts w:asciiTheme="minorHAnsi" w:hAnsiTheme="minorHAnsi" w:cstheme="minorHAnsi"/>
        </w:rPr>
        <w:t xml:space="preserve">a situación de las personas con discapacidad que están en instituciones, establecimientos psiquiátricos y prisiones </w:t>
      </w:r>
      <w:r w:rsidRPr="009D593A">
        <w:rPr>
          <w:rFonts w:asciiTheme="minorHAnsi" w:hAnsiTheme="minorHAnsi" w:cstheme="minorHAnsi"/>
          <w:bCs/>
        </w:rPr>
        <w:t>es particularmente grave</w:t>
      </w:r>
      <w:r w:rsidRPr="009D593A">
        <w:rPr>
          <w:rFonts w:asciiTheme="minorHAnsi" w:hAnsiTheme="minorHAnsi" w:cstheme="minorHAnsi"/>
        </w:rPr>
        <w:t>, por el riesgo de contaminación y la ausencia de supervisión externa, situación que se agrava por el uso de los poderes de emergencia por la crisis sanitaria”</w:t>
      </w:r>
      <w:r w:rsidRPr="009D593A">
        <w:rPr>
          <w:rFonts w:asciiTheme="minorHAnsi" w:hAnsiTheme="minorHAnsi" w:cstheme="minorHAnsi"/>
          <w:vertAlign w:val="superscript"/>
        </w:rPr>
        <w:footnoteReference w:id="4"/>
      </w:r>
      <w:r w:rsidRPr="009D593A">
        <w:rPr>
          <w:rFonts w:asciiTheme="minorHAnsi" w:hAnsiTheme="minorHAnsi" w:cstheme="minorHAnsi"/>
        </w:rPr>
        <w:t>.</w:t>
      </w:r>
    </w:p>
    <w:p w14:paraId="5D193720" w14:textId="77777777" w:rsidR="00473E79" w:rsidRPr="009D593A" w:rsidRDefault="00473E79" w:rsidP="00473E79">
      <w:pPr>
        <w:spacing w:after="0" w:line="240" w:lineRule="auto"/>
        <w:jc w:val="both"/>
        <w:rPr>
          <w:rFonts w:asciiTheme="minorHAnsi" w:hAnsiTheme="minorHAnsi" w:cstheme="minorHAnsi"/>
        </w:rPr>
      </w:pPr>
    </w:p>
    <w:p w14:paraId="1D1BEE44" w14:textId="71540154" w:rsidR="00473E79" w:rsidRPr="009D593A" w:rsidRDefault="00473E79" w:rsidP="00473E79">
      <w:pPr>
        <w:spacing w:after="0" w:line="240" w:lineRule="auto"/>
        <w:jc w:val="both"/>
        <w:rPr>
          <w:rFonts w:asciiTheme="minorHAnsi" w:hAnsiTheme="minorHAnsi" w:cstheme="minorHAnsi"/>
        </w:rPr>
      </w:pPr>
      <w:r w:rsidRPr="009D593A">
        <w:rPr>
          <w:rFonts w:asciiTheme="minorHAnsi" w:hAnsiTheme="minorHAnsi" w:cstheme="minorHAnsi"/>
        </w:rPr>
        <w:t>Esta honorable Comisión, en su Comunicado de Prensa 71/20 “En el contexto de la pandemia COVID-19, la CIDH llama a los Estados a garantizar los derechos de las personas con discapacidad”, señaló que las personas con discapacidad que se encuentran privadas de la libertad en hospitales psiquiátricos “se enfrentan a una situación de especial de riesgo de contagio del COVID-19”</w:t>
      </w:r>
      <w:r w:rsidRPr="009D593A">
        <w:rPr>
          <w:rFonts w:asciiTheme="minorHAnsi" w:hAnsiTheme="minorHAnsi" w:cstheme="minorHAnsi"/>
          <w:vertAlign w:val="superscript"/>
        </w:rPr>
        <w:footnoteReference w:id="5"/>
      </w:r>
      <w:r w:rsidRPr="009D593A">
        <w:rPr>
          <w:rFonts w:asciiTheme="minorHAnsi" w:hAnsiTheme="minorHAnsi" w:cstheme="minorHAnsi"/>
        </w:rPr>
        <w:t>.</w:t>
      </w:r>
      <w:r w:rsidR="00194919" w:rsidRPr="009D593A">
        <w:rPr>
          <w:rFonts w:asciiTheme="minorHAnsi" w:hAnsiTheme="minorHAnsi" w:cstheme="minorHAnsi"/>
        </w:rPr>
        <w:t xml:space="preserve"> </w:t>
      </w:r>
      <w:r w:rsidRPr="009D593A">
        <w:rPr>
          <w:rFonts w:asciiTheme="minorHAnsi" w:hAnsiTheme="minorHAnsi" w:cstheme="minorHAnsi"/>
        </w:rPr>
        <w:t>Al respecto, recalcó que:</w:t>
      </w:r>
    </w:p>
    <w:p w14:paraId="4AC34D3E" w14:textId="77777777" w:rsidR="00473E79" w:rsidRPr="009D593A" w:rsidRDefault="00473E79" w:rsidP="00D90914">
      <w:pPr>
        <w:spacing w:after="0" w:line="240" w:lineRule="auto"/>
        <w:jc w:val="both"/>
        <w:rPr>
          <w:rFonts w:asciiTheme="minorHAnsi" w:hAnsiTheme="minorHAnsi" w:cstheme="minorHAnsi"/>
        </w:rPr>
      </w:pPr>
    </w:p>
    <w:p w14:paraId="494E972E" w14:textId="77777777" w:rsidR="00570127" w:rsidRPr="009D593A" w:rsidRDefault="00473E79" w:rsidP="00570127">
      <w:pPr>
        <w:spacing w:after="0" w:line="240" w:lineRule="auto"/>
        <w:ind w:left="1080" w:right="960"/>
        <w:jc w:val="both"/>
        <w:rPr>
          <w:rFonts w:asciiTheme="minorHAnsi" w:hAnsiTheme="minorHAnsi" w:cstheme="minorHAnsi"/>
        </w:rPr>
      </w:pPr>
      <w:r w:rsidRPr="009D593A">
        <w:rPr>
          <w:rFonts w:asciiTheme="minorHAnsi" w:hAnsiTheme="minorHAnsi" w:cstheme="minorHAnsi"/>
        </w:rPr>
        <w:t>“con base en la información documentada a través de sus distintos mecanismos de monitoreo, la Comisión ha observado que [los] centros de privación de libertad se caracterizarían por hacinamiento, falta de higiene adecuada, negligente atención médica y alimentación inadecuada. En tal sentido, la Comisión recuerda que los Estados tienen un deber especial de protección de las personas con discapacidad que se encuentran privadas de libertad.”</w:t>
      </w:r>
      <w:r w:rsidRPr="009D593A">
        <w:rPr>
          <w:rFonts w:asciiTheme="minorHAnsi" w:hAnsiTheme="minorHAnsi" w:cstheme="minorHAnsi"/>
          <w:vertAlign w:val="superscript"/>
        </w:rPr>
        <w:footnoteReference w:id="6"/>
      </w:r>
      <w:r w:rsidRPr="009D593A">
        <w:rPr>
          <w:rFonts w:asciiTheme="minorHAnsi" w:hAnsiTheme="minorHAnsi" w:cstheme="minorHAnsi"/>
        </w:rPr>
        <w:t>.</w:t>
      </w:r>
    </w:p>
    <w:p w14:paraId="7D7822CD" w14:textId="4EAA9878" w:rsidR="00F055E7" w:rsidRPr="009D593A" w:rsidRDefault="00473E79" w:rsidP="00570127">
      <w:pPr>
        <w:spacing w:after="0" w:line="240" w:lineRule="auto"/>
        <w:jc w:val="both"/>
        <w:rPr>
          <w:rFonts w:asciiTheme="minorHAnsi" w:hAnsiTheme="minorHAnsi" w:cstheme="minorHAnsi"/>
        </w:rPr>
      </w:pPr>
      <w:r w:rsidRPr="009D593A">
        <w:rPr>
          <w:rFonts w:asciiTheme="minorHAnsi" w:hAnsiTheme="minorHAnsi" w:cstheme="minorHAnsi"/>
        </w:rPr>
        <w:lastRenderedPageBreak/>
        <w:t>La información disponible sobre la propagación del COVID-19 demuestra que las personas en instituciones residenciales, y particularmente las personas con discapacidad que se encuentran institucionalizadas, corren un mayor riesgo de contraer el virus y morir</w:t>
      </w:r>
      <w:r w:rsidRPr="009D593A">
        <w:rPr>
          <w:rStyle w:val="FootnoteReference"/>
          <w:rFonts w:asciiTheme="minorHAnsi" w:hAnsiTheme="minorHAnsi" w:cstheme="minorHAnsi"/>
        </w:rPr>
        <w:footnoteReference w:id="7"/>
      </w:r>
      <w:r w:rsidRPr="009D593A">
        <w:rPr>
          <w:rFonts w:asciiTheme="minorHAnsi" w:hAnsiTheme="minorHAnsi" w:cstheme="minorHAnsi"/>
        </w:rPr>
        <w:t xml:space="preserve">. </w:t>
      </w:r>
      <w:r w:rsidR="00194919" w:rsidRPr="009D593A">
        <w:rPr>
          <w:rFonts w:asciiTheme="minorHAnsi" w:hAnsiTheme="minorHAnsi" w:cstheme="minorHAnsi"/>
        </w:rPr>
        <w:t xml:space="preserve">Un estudio reciente encontró que “los residentes de hogares grupales [de personas con discapacidad] </w:t>
      </w:r>
      <w:r w:rsidR="00574D97">
        <w:rPr>
          <w:rFonts w:asciiTheme="minorHAnsi" w:hAnsiTheme="minorHAnsi" w:cstheme="minorHAnsi"/>
        </w:rPr>
        <w:t>e instituciones</w:t>
      </w:r>
      <w:r w:rsidR="00194919" w:rsidRPr="009D593A">
        <w:rPr>
          <w:rFonts w:asciiTheme="minorHAnsi" w:hAnsiTheme="minorHAnsi" w:cstheme="minorHAnsi"/>
        </w:rPr>
        <w:t xml:space="preserve"> similares en la ciudad de Nueva York y sus alrededores tenían 5,34 veces más probabilidades que la población general de </w:t>
      </w:r>
      <w:r w:rsidR="00574D97">
        <w:rPr>
          <w:rFonts w:asciiTheme="minorHAnsi" w:hAnsiTheme="minorHAnsi" w:cstheme="minorHAnsi"/>
        </w:rPr>
        <w:t>contraer</w:t>
      </w:r>
      <w:r w:rsidR="00194919" w:rsidRPr="009D593A">
        <w:rPr>
          <w:rFonts w:asciiTheme="minorHAnsi" w:hAnsiTheme="minorHAnsi" w:cstheme="minorHAnsi"/>
        </w:rPr>
        <w:t xml:space="preserve"> Covid-19, y 4,86 ​​veces más probabilidades de morir por eso”</w:t>
      </w:r>
      <w:r w:rsidR="00194919" w:rsidRPr="009D593A">
        <w:rPr>
          <w:rFonts w:asciiTheme="minorHAnsi" w:hAnsiTheme="minorHAnsi" w:cstheme="minorHAnsi"/>
          <w:vertAlign w:val="superscript"/>
        </w:rPr>
        <w:footnoteReference w:id="8"/>
      </w:r>
      <w:r w:rsidR="00194919" w:rsidRPr="009D593A">
        <w:rPr>
          <w:rFonts w:asciiTheme="minorHAnsi" w:hAnsiTheme="minorHAnsi" w:cstheme="minorHAnsi"/>
        </w:rPr>
        <w:t>.</w:t>
      </w:r>
      <w:r w:rsidR="002F0CBB">
        <w:rPr>
          <w:rFonts w:asciiTheme="minorHAnsi" w:hAnsiTheme="minorHAnsi" w:cstheme="minorHAnsi"/>
        </w:rPr>
        <w:t xml:space="preserve"> </w:t>
      </w:r>
      <w:r w:rsidR="002F0CBB" w:rsidRPr="009D593A">
        <w:rPr>
          <w:rFonts w:asciiTheme="minorHAnsi" w:hAnsiTheme="minorHAnsi" w:cstheme="minorHAnsi"/>
        </w:rPr>
        <w:t>Los hospitales psiquiátricos en particular han sido denominados como “incubadores potenciales del virus.”</w:t>
      </w:r>
      <w:r w:rsidR="002F0CBB" w:rsidRPr="009D593A">
        <w:rPr>
          <w:rFonts w:asciiTheme="minorHAnsi" w:hAnsiTheme="minorHAnsi" w:cstheme="minorHAnsi"/>
          <w:vertAlign w:val="superscript"/>
        </w:rPr>
        <w:footnoteReference w:id="9"/>
      </w:r>
      <w:r w:rsidR="002F0CBB" w:rsidRPr="009D593A">
        <w:rPr>
          <w:rFonts w:asciiTheme="minorHAnsi" w:hAnsiTheme="minorHAnsi" w:cstheme="minorHAnsi"/>
        </w:rPr>
        <w:t xml:space="preserve"> Cualquier persona detenida en este tipo de instituciones corre un mayor riesgo de contagiarse de COVID-19 y morir.</w:t>
      </w:r>
    </w:p>
    <w:p w14:paraId="1CCB66BC" w14:textId="77777777" w:rsidR="00570127" w:rsidRPr="009D593A" w:rsidRDefault="00570127" w:rsidP="00570127">
      <w:pPr>
        <w:spacing w:after="0" w:line="240" w:lineRule="auto"/>
        <w:ind w:right="960"/>
        <w:jc w:val="both"/>
        <w:rPr>
          <w:rFonts w:asciiTheme="minorHAnsi" w:hAnsiTheme="minorHAnsi" w:cstheme="minorHAnsi"/>
        </w:rPr>
      </w:pPr>
    </w:p>
    <w:p w14:paraId="710A6C12" w14:textId="0F002D6C" w:rsidR="00473E79" w:rsidRPr="009D593A" w:rsidRDefault="00473E79" w:rsidP="00473E79">
      <w:pPr>
        <w:spacing w:after="0" w:line="240" w:lineRule="auto"/>
        <w:jc w:val="both"/>
        <w:rPr>
          <w:rFonts w:asciiTheme="minorHAnsi" w:hAnsiTheme="minorHAnsi" w:cstheme="minorHAnsi"/>
        </w:rPr>
      </w:pPr>
      <w:r w:rsidRPr="009D593A">
        <w:rPr>
          <w:rFonts w:asciiTheme="minorHAnsi" w:hAnsiTheme="minorHAnsi" w:cstheme="minorHAnsi"/>
        </w:rPr>
        <w:t xml:space="preserve">El simple hecho de vivir en un entorno </w:t>
      </w:r>
      <w:r w:rsidR="004D7BBF" w:rsidRPr="009D593A">
        <w:rPr>
          <w:rFonts w:asciiTheme="minorHAnsi" w:hAnsiTheme="minorHAnsi" w:cstheme="minorHAnsi"/>
        </w:rPr>
        <w:t>institucionalizado</w:t>
      </w:r>
      <w:r w:rsidRPr="009D593A">
        <w:rPr>
          <w:rFonts w:asciiTheme="minorHAnsi" w:hAnsiTheme="minorHAnsi" w:cstheme="minorHAnsi"/>
        </w:rPr>
        <w:t xml:space="preserve"> pone a cualquier persona en riesgo. En Europa, un estudio elaborado en la Red internacional de políticas de atención a largo plazo (ILPN por sus siglas en inglés) y el Centro de evaluación y política de atención (CPEC por sus siglas en Inglés) de la Escuela de Economía y Ciencia Política de Londres (LSE por sus siglas en Inglés)</w:t>
      </w:r>
      <w:r w:rsidRPr="009D593A">
        <w:rPr>
          <w:rFonts w:asciiTheme="minorHAnsi" w:hAnsiTheme="minorHAnsi" w:cstheme="minorHAnsi"/>
          <w:vertAlign w:val="superscript"/>
        </w:rPr>
        <w:footnoteReference w:id="10"/>
      </w:r>
      <w:r w:rsidRPr="009D593A">
        <w:rPr>
          <w:rFonts w:asciiTheme="minorHAnsi" w:hAnsiTheme="minorHAnsi" w:cstheme="minorHAnsi"/>
        </w:rPr>
        <w:t xml:space="preserve"> encontró que cerca de la mitad de las muertes que ocurrieron en la Unión Europea por el coronavirus se dieron en el contexto de instituciones residenciales. Según este estudio, “[l]os datos instantáneos de diversas fuentes oficiales muestran que en Italia, España, Francia, Irlanda y Bélgica entre el 42% y el 57% de las muertes por el virus se han producido en los hogares [residenciales]”</w:t>
      </w:r>
      <w:r w:rsidRPr="009D593A">
        <w:rPr>
          <w:rFonts w:asciiTheme="minorHAnsi" w:hAnsiTheme="minorHAnsi" w:cstheme="minorHAnsi"/>
          <w:vertAlign w:val="superscript"/>
        </w:rPr>
        <w:footnoteReference w:id="11"/>
      </w:r>
      <w:r w:rsidRPr="009D593A">
        <w:rPr>
          <w:rFonts w:asciiTheme="minorHAnsi" w:hAnsiTheme="minorHAnsi" w:cstheme="minorHAnsi"/>
        </w:rPr>
        <w:t>. En Francia, el porcentaje de muertes entre los residentes de hogares residenciales ha oscilado entre 39.2% y 49.4%</w:t>
      </w:r>
      <w:r w:rsidRPr="009D593A">
        <w:rPr>
          <w:rFonts w:asciiTheme="minorHAnsi" w:hAnsiTheme="minorHAnsi" w:cstheme="minorHAnsi"/>
          <w:vertAlign w:val="superscript"/>
        </w:rPr>
        <w:footnoteReference w:id="12"/>
      </w:r>
      <w:r w:rsidRPr="009D593A">
        <w:rPr>
          <w:rFonts w:asciiTheme="minorHAnsi" w:hAnsiTheme="minorHAnsi" w:cstheme="minorHAnsi"/>
        </w:rPr>
        <w:t>. En Bélgica, para el 16 de abril había 4,857 personas fallecidas por COVID-19 de las cuales el 69.3% había muerto a causa del COVID-19 en hogares residenciales</w:t>
      </w:r>
      <w:r w:rsidRPr="009D593A">
        <w:rPr>
          <w:rFonts w:asciiTheme="minorHAnsi" w:hAnsiTheme="minorHAnsi" w:cstheme="minorHAnsi"/>
          <w:vertAlign w:val="superscript"/>
        </w:rPr>
        <w:footnoteReference w:id="13"/>
      </w:r>
      <w:r w:rsidRPr="009D593A">
        <w:rPr>
          <w:rFonts w:asciiTheme="minorHAnsi" w:hAnsiTheme="minorHAnsi" w:cstheme="minorHAnsi"/>
        </w:rPr>
        <w:t>. En el caso de España se encontró que los contagios por COVID-19, “afecta[n] sobre todo a las residencias de personas mayores, pero también a los demás colectivos institucionalizados con algún tipo de discapacidad”</w:t>
      </w:r>
      <w:r w:rsidRPr="009D593A">
        <w:rPr>
          <w:rStyle w:val="FootnoteReference"/>
          <w:rFonts w:asciiTheme="minorHAnsi" w:hAnsiTheme="minorHAnsi" w:cstheme="minorHAnsi"/>
        </w:rPr>
        <w:footnoteReference w:id="14"/>
      </w:r>
      <w:r w:rsidRPr="009D593A">
        <w:rPr>
          <w:rFonts w:asciiTheme="minorHAnsi" w:hAnsiTheme="minorHAnsi" w:cstheme="minorHAnsi"/>
        </w:rPr>
        <w:t>.</w:t>
      </w:r>
      <w:r w:rsidR="00961716" w:rsidRPr="009D593A">
        <w:rPr>
          <w:rFonts w:asciiTheme="minorHAnsi" w:hAnsiTheme="minorHAnsi" w:cstheme="minorHAnsi"/>
        </w:rPr>
        <w:t xml:space="preserve"> En EUA, “la cantidad de personas que viven o que están conectadas a hogares para personas mayores que han muerto por el coronavirus es de al menos 7,000, mucho más de lo que se sabía anteriormente”</w:t>
      </w:r>
      <w:r w:rsidR="00961716" w:rsidRPr="009D593A">
        <w:rPr>
          <w:rFonts w:asciiTheme="minorHAnsi" w:hAnsiTheme="minorHAnsi" w:cstheme="minorHAnsi"/>
          <w:vertAlign w:val="superscript"/>
        </w:rPr>
        <w:footnoteReference w:id="15"/>
      </w:r>
      <w:r w:rsidR="00961716" w:rsidRPr="009D593A">
        <w:rPr>
          <w:rFonts w:asciiTheme="minorHAnsi" w:hAnsiTheme="minorHAnsi" w:cstheme="minorHAnsi"/>
        </w:rPr>
        <w:t>.</w:t>
      </w:r>
    </w:p>
    <w:p w14:paraId="4017EDCB" w14:textId="4F5512C9" w:rsidR="00473E79" w:rsidRDefault="00473E79" w:rsidP="00F055E7">
      <w:pPr>
        <w:spacing w:after="0" w:line="240" w:lineRule="auto"/>
        <w:jc w:val="both"/>
        <w:rPr>
          <w:rFonts w:asciiTheme="minorHAnsi" w:hAnsiTheme="minorHAnsi" w:cstheme="minorHAnsi"/>
        </w:rPr>
      </w:pPr>
    </w:p>
    <w:p w14:paraId="4F8EFB94" w14:textId="14DB51E4" w:rsidR="00473E79" w:rsidRPr="009D593A" w:rsidRDefault="00473E79" w:rsidP="004E2F37">
      <w:pPr>
        <w:pStyle w:val="ListParagraph"/>
        <w:numPr>
          <w:ilvl w:val="1"/>
          <w:numId w:val="1"/>
        </w:numPr>
        <w:spacing w:after="0" w:line="240" w:lineRule="auto"/>
        <w:jc w:val="both"/>
        <w:rPr>
          <w:rFonts w:asciiTheme="minorHAnsi" w:hAnsiTheme="minorHAnsi" w:cstheme="minorHAnsi"/>
          <w:b/>
        </w:rPr>
      </w:pPr>
      <w:r w:rsidRPr="009D593A">
        <w:rPr>
          <w:rFonts w:asciiTheme="minorHAnsi" w:hAnsiTheme="minorHAnsi" w:cstheme="minorHAnsi"/>
          <w:b/>
        </w:rPr>
        <w:lastRenderedPageBreak/>
        <w:t>RIESGO INMINENTE DE MUERTE QUE ENFRENTAN LAS Y LOS PACIENTES DEL HOSPITAL NACIONAL DE SALUD MENTAL FEDERICO MORA</w:t>
      </w:r>
    </w:p>
    <w:p w14:paraId="3CE16082" w14:textId="77777777" w:rsidR="004D7BBF" w:rsidRPr="009D593A" w:rsidRDefault="004D7BBF" w:rsidP="004D7BBF">
      <w:pPr>
        <w:spacing w:after="0" w:line="240" w:lineRule="auto"/>
        <w:jc w:val="both"/>
        <w:rPr>
          <w:rFonts w:asciiTheme="minorHAnsi" w:hAnsiTheme="minorHAnsi" w:cstheme="minorHAnsi"/>
          <w:b/>
        </w:rPr>
      </w:pPr>
    </w:p>
    <w:p w14:paraId="4A2B321F" w14:textId="21A3F367" w:rsidR="00473E79" w:rsidRPr="009D593A" w:rsidRDefault="00473E79" w:rsidP="00473E79">
      <w:pPr>
        <w:spacing w:after="0" w:line="240" w:lineRule="auto"/>
        <w:jc w:val="both"/>
        <w:rPr>
          <w:rFonts w:asciiTheme="minorHAnsi" w:hAnsiTheme="minorHAnsi" w:cstheme="minorHAnsi"/>
        </w:rPr>
      </w:pPr>
      <w:r w:rsidRPr="009D593A">
        <w:rPr>
          <w:rFonts w:asciiTheme="minorHAnsi" w:hAnsiTheme="minorHAnsi" w:cstheme="minorHAnsi"/>
        </w:rPr>
        <w:t xml:space="preserve">Todas las y los pacientes del </w:t>
      </w:r>
      <w:r w:rsidR="005D423B" w:rsidRPr="009D593A">
        <w:rPr>
          <w:rFonts w:asciiTheme="minorHAnsi" w:hAnsiTheme="minorHAnsi" w:cstheme="minorHAnsi"/>
        </w:rPr>
        <w:t>“</w:t>
      </w:r>
      <w:r w:rsidR="004B5650" w:rsidRPr="009D593A">
        <w:rPr>
          <w:rFonts w:asciiTheme="minorHAnsi" w:hAnsiTheme="minorHAnsi" w:cstheme="minorHAnsi"/>
        </w:rPr>
        <w:t>Federico</w:t>
      </w:r>
      <w:r w:rsidR="005D423B" w:rsidRPr="009D593A">
        <w:rPr>
          <w:rFonts w:asciiTheme="minorHAnsi" w:hAnsiTheme="minorHAnsi" w:cstheme="minorHAnsi"/>
        </w:rPr>
        <w:t xml:space="preserve"> M</w:t>
      </w:r>
      <w:r w:rsidR="004B5650" w:rsidRPr="009D593A">
        <w:rPr>
          <w:rFonts w:asciiTheme="minorHAnsi" w:hAnsiTheme="minorHAnsi" w:cstheme="minorHAnsi"/>
        </w:rPr>
        <w:t>ora</w:t>
      </w:r>
      <w:r w:rsidR="005D423B" w:rsidRPr="009D593A">
        <w:rPr>
          <w:rFonts w:asciiTheme="minorHAnsi" w:hAnsiTheme="minorHAnsi" w:cstheme="minorHAnsi"/>
        </w:rPr>
        <w:t>”</w:t>
      </w:r>
      <w:r w:rsidRPr="009D593A">
        <w:rPr>
          <w:rFonts w:asciiTheme="minorHAnsi" w:hAnsiTheme="minorHAnsi" w:cstheme="minorHAnsi"/>
        </w:rPr>
        <w:t xml:space="preserve"> se encuentran en un riesgo inminente de </w:t>
      </w:r>
      <w:r w:rsidR="002F0CBB">
        <w:rPr>
          <w:rFonts w:asciiTheme="minorHAnsi" w:hAnsiTheme="minorHAnsi" w:cstheme="minorHAnsi"/>
        </w:rPr>
        <w:t xml:space="preserve">contraer el </w:t>
      </w:r>
      <w:r w:rsidRPr="009D593A">
        <w:rPr>
          <w:rFonts w:asciiTheme="minorHAnsi" w:hAnsiTheme="minorHAnsi" w:cstheme="minorHAnsi"/>
        </w:rPr>
        <w:t xml:space="preserve">COVID-19 debido a </w:t>
      </w:r>
      <w:r w:rsidR="002F0CBB">
        <w:rPr>
          <w:rFonts w:asciiTheme="minorHAnsi" w:hAnsiTheme="minorHAnsi" w:cstheme="minorHAnsi"/>
        </w:rPr>
        <w:t xml:space="preserve">los riesgos </w:t>
      </w:r>
      <w:r w:rsidRPr="009D593A">
        <w:rPr>
          <w:rFonts w:asciiTheme="minorHAnsi" w:hAnsiTheme="minorHAnsi" w:cstheme="minorHAnsi"/>
        </w:rPr>
        <w:t xml:space="preserve">inherentes de </w:t>
      </w:r>
      <w:r w:rsidR="002F0CBB">
        <w:rPr>
          <w:rFonts w:asciiTheme="minorHAnsi" w:hAnsiTheme="minorHAnsi" w:cstheme="minorHAnsi"/>
        </w:rPr>
        <w:t>las instituciones</w:t>
      </w:r>
      <w:r w:rsidRPr="009D593A">
        <w:rPr>
          <w:rFonts w:asciiTheme="minorHAnsi" w:hAnsiTheme="minorHAnsi" w:cstheme="minorHAnsi"/>
        </w:rPr>
        <w:t xml:space="preserve"> referid</w:t>
      </w:r>
      <w:r w:rsidR="002F0CBB">
        <w:rPr>
          <w:rFonts w:asciiTheme="minorHAnsi" w:hAnsiTheme="minorHAnsi" w:cstheme="minorHAnsi"/>
        </w:rPr>
        <w:t>o</w:t>
      </w:r>
      <w:r w:rsidRPr="009D593A">
        <w:rPr>
          <w:rFonts w:asciiTheme="minorHAnsi" w:hAnsiTheme="minorHAnsi" w:cstheme="minorHAnsi"/>
        </w:rPr>
        <w:t>s</w:t>
      </w:r>
      <w:r w:rsidR="002F0CBB">
        <w:rPr>
          <w:rFonts w:asciiTheme="minorHAnsi" w:hAnsiTheme="minorHAnsi" w:cstheme="minorHAnsi"/>
        </w:rPr>
        <w:t xml:space="preserve"> en la sección anterior</w:t>
      </w:r>
      <w:r w:rsidRPr="009D593A">
        <w:rPr>
          <w:rFonts w:asciiTheme="minorHAnsi" w:hAnsiTheme="minorHAnsi" w:cstheme="minorHAnsi"/>
        </w:rPr>
        <w:t xml:space="preserve"> </w:t>
      </w:r>
      <w:r w:rsidR="002F0CBB">
        <w:rPr>
          <w:rFonts w:asciiTheme="minorHAnsi" w:hAnsiTheme="minorHAnsi" w:cstheme="minorHAnsi"/>
        </w:rPr>
        <w:t>y a las condiciones particulares del hospital que presentamos a continuación</w:t>
      </w:r>
      <w:r w:rsidRPr="009D593A">
        <w:rPr>
          <w:rFonts w:asciiTheme="minorHAnsi" w:hAnsiTheme="minorHAnsi" w:cstheme="minorHAnsi"/>
        </w:rPr>
        <w:t xml:space="preserve">. Un miembro del personal del </w:t>
      </w:r>
      <w:r w:rsidR="005D423B" w:rsidRPr="009D593A">
        <w:rPr>
          <w:rFonts w:asciiTheme="minorHAnsi" w:hAnsiTheme="minorHAnsi" w:cstheme="minorHAnsi"/>
        </w:rPr>
        <w:t>“</w:t>
      </w:r>
      <w:r w:rsidR="004B5650" w:rsidRPr="009D593A">
        <w:rPr>
          <w:rFonts w:asciiTheme="minorHAnsi" w:hAnsiTheme="minorHAnsi" w:cstheme="minorHAnsi"/>
        </w:rPr>
        <w:t>Federico</w:t>
      </w:r>
      <w:r w:rsidR="005D423B" w:rsidRPr="009D593A">
        <w:rPr>
          <w:rFonts w:asciiTheme="minorHAnsi" w:hAnsiTheme="minorHAnsi" w:cstheme="minorHAnsi"/>
        </w:rPr>
        <w:t xml:space="preserve"> M</w:t>
      </w:r>
      <w:r w:rsidR="004B5650" w:rsidRPr="009D593A">
        <w:rPr>
          <w:rFonts w:asciiTheme="minorHAnsi" w:hAnsiTheme="minorHAnsi" w:cstheme="minorHAnsi"/>
        </w:rPr>
        <w:t>ora</w:t>
      </w:r>
      <w:r w:rsidR="005D423B" w:rsidRPr="009D593A">
        <w:rPr>
          <w:rFonts w:asciiTheme="minorHAnsi" w:hAnsiTheme="minorHAnsi" w:cstheme="minorHAnsi"/>
        </w:rPr>
        <w:t>”</w:t>
      </w:r>
      <w:r w:rsidRPr="009D593A">
        <w:rPr>
          <w:rFonts w:asciiTheme="minorHAnsi" w:hAnsiTheme="minorHAnsi" w:cstheme="minorHAnsi"/>
        </w:rPr>
        <w:t xml:space="preserve"> afirmó que le “preocupa el nivel de riesgo en el que se encuentra el personal y los pacientes”</w:t>
      </w:r>
      <w:r w:rsidRPr="009D593A">
        <w:rPr>
          <w:rFonts w:asciiTheme="minorHAnsi" w:hAnsiTheme="minorHAnsi" w:cstheme="minorHAnsi"/>
          <w:vertAlign w:val="superscript"/>
        </w:rPr>
        <w:footnoteReference w:id="16"/>
      </w:r>
      <w:r w:rsidRPr="009D593A">
        <w:rPr>
          <w:rFonts w:asciiTheme="minorHAnsi" w:hAnsiTheme="minorHAnsi" w:cstheme="minorHAnsi"/>
        </w:rPr>
        <w:t>.</w:t>
      </w:r>
    </w:p>
    <w:p w14:paraId="32579D1F" w14:textId="66337AFC" w:rsidR="00473E79" w:rsidRPr="009D593A" w:rsidRDefault="00473E79" w:rsidP="00473E79">
      <w:pPr>
        <w:spacing w:after="0" w:line="240" w:lineRule="auto"/>
        <w:jc w:val="both"/>
        <w:rPr>
          <w:rFonts w:asciiTheme="minorHAnsi" w:hAnsiTheme="minorHAnsi" w:cstheme="minorHAnsi"/>
        </w:rPr>
      </w:pPr>
    </w:p>
    <w:p w14:paraId="3010D721" w14:textId="21535FFF" w:rsidR="00F534DC" w:rsidRPr="009D593A" w:rsidRDefault="00473E79" w:rsidP="004B5650">
      <w:pPr>
        <w:spacing w:line="240" w:lineRule="auto"/>
        <w:jc w:val="both"/>
        <w:rPr>
          <w:rFonts w:asciiTheme="minorHAnsi" w:hAnsiTheme="minorHAnsi" w:cstheme="minorHAnsi"/>
        </w:rPr>
      </w:pPr>
      <w:r w:rsidRPr="009D593A">
        <w:rPr>
          <w:rFonts w:asciiTheme="minorHAnsi" w:hAnsiTheme="minorHAnsi" w:cstheme="minorHAnsi"/>
        </w:rPr>
        <w:t xml:space="preserve">Como se menciona en la solicitud original de medidas cautelares, el </w:t>
      </w:r>
      <w:r w:rsidR="005D423B" w:rsidRPr="009D593A">
        <w:rPr>
          <w:rFonts w:asciiTheme="minorHAnsi" w:hAnsiTheme="minorHAnsi" w:cstheme="minorHAnsi"/>
        </w:rPr>
        <w:t>“</w:t>
      </w:r>
      <w:r w:rsidR="004B5650" w:rsidRPr="009D593A">
        <w:rPr>
          <w:rFonts w:asciiTheme="minorHAnsi" w:hAnsiTheme="minorHAnsi" w:cstheme="minorHAnsi"/>
        </w:rPr>
        <w:t>Federico</w:t>
      </w:r>
      <w:r w:rsidR="005D423B" w:rsidRPr="009D593A">
        <w:rPr>
          <w:rFonts w:asciiTheme="minorHAnsi" w:hAnsiTheme="minorHAnsi" w:cstheme="minorHAnsi"/>
        </w:rPr>
        <w:t xml:space="preserve"> M</w:t>
      </w:r>
      <w:r w:rsidR="004B5650" w:rsidRPr="009D593A">
        <w:rPr>
          <w:rFonts w:asciiTheme="minorHAnsi" w:hAnsiTheme="minorHAnsi" w:cstheme="minorHAnsi"/>
        </w:rPr>
        <w:t>ora</w:t>
      </w:r>
      <w:r w:rsidR="005D423B" w:rsidRPr="009D593A">
        <w:rPr>
          <w:rFonts w:asciiTheme="minorHAnsi" w:hAnsiTheme="minorHAnsi" w:cstheme="minorHAnsi"/>
        </w:rPr>
        <w:t>”</w:t>
      </w:r>
      <w:r w:rsidRPr="009D593A">
        <w:rPr>
          <w:rFonts w:asciiTheme="minorHAnsi" w:hAnsiTheme="minorHAnsi" w:cstheme="minorHAnsi"/>
        </w:rPr>
        <w:t xml:space="preserve"> es el único hospital psiquiátrico público en Guatemala. El hospital emplea alrededor de 450 personas, desde el personal operativo, administrativo, médico y el equipo de enfermería. Actualmente hay 321 pacientes detenidos en la institución separados en seis pabellones según su sexo</w:t>
      </w:r>
      <w:r w:rsidR="002F0CBB">
        <w:rPr>
          <w:rFonts w:asciiTheme="minorHAnsi" w:hAnsiTheme="minorHAnsi" w:cstheme="minorHAnsi"/>
        </w:rPr>
        <w:t>, edad</w:t>
      </w:r>
      <w:r w:rsidRPr="009D593A">
        <w:rPr>
          <w:rFonts w:asciiTheme="minorHAnsi" w:hAnsiTheme="minorHAnsi" w:cstheme="minorHAnsi"/>
        </w:rPr>
        <w:t xml:space="preserve"> y perfil clínico</w:t>
      </w:r>
      <w:r w:rsidRPr="009D593A">
        <w:rPr>
          <w:rFonts w:asciiTheme="minorHAnsi" w:hAnsiTheme="minorHAnsi" w:cstheme="minorHAnsi"/>
          <w:vertAlign w:val="superscript"/>
        </w:rPr>
        <w:footnoteReference w:id="17"/>
      </w:r>
      <w:r w:rsidRPr="009D593A">
        <w:rPr>
          <w:rFonts w:asciiTheme="minorHAnsi" w:hAnsiTheme="minorHAnsi" w:cstheme="minorHAnsi"/>
        </w:rPr>
        <w:t xml:space="preserve">. </w:t>
      </w:r>
      <w:r w:rsidR="00F534DC" w:rsidRPr="009D593A">
        <w:rPr>
          <w:rFonts w:asciiTheme="minorHAnsi" w:hAnsiTheme="minorHAnsi" w:cstheme="minorHAnsi"/>
          <w:lang w:val="es-ES"/>
        </w:rPr>
        <w:t xml:space="preserve">La CIDH ha observado que al menos el 75% de los pacientes no </w:t>
      </w:r>
      <w:r w:rsidR="002F0CBB">
        <w:rPr>
          <w:rFonts w:asciiTheme="minorHAnsi" w:hAnsiTheme="minorHAnsi" w:cstheme="minorHAnsi"/>
          <w:lang w:val="es-ES"/>
        </w:rPr>
        <w:t>requiere</w:t>
      </w:r>
      <w:r w:rsidR="00F534DC" w:rsidRPr="009D593A">
        <w:rPr>
          <w:rFonts w:asciiTheme="minorHAnsi" w:hAnsiTheme="minorHAnsi" w:cstheme="minorHAnsi"/>
          <w:lang w:val="es-ES"/>
        </w:rPr>
        <w:t xml:space="preserve"> permanecer en el hospital por razones médicas, pero permanecen allí porque no tienen otro lugar a donde ir.</w:t>
      </w:r>
      <w:r w:rsidR="00F534DC" w:rsidRPr="009D593A">
        <w:rPr>
          <w:rStyle w:val="FootnoteReference"/>
          <w:rFonts w:asciiTheme="minorHAnsi" w:hAnsiTheme="minorHAnsi" w:cstheme="minorHAnsi"/>
          <w:lang w:val="en-US"/>
        </w:rPr>
        <w:footnoteReference w:id="18"/>
      </w:r>
    </w:p>
    <w:p w14:paraId="326A6F04" w14:textId="0B23AC69" w:rsidR="00473E79" w:rsidRPr="009D593A" w:rsidRDefault="00473E79" w:rsidP="00473E79">
      <w:pPr>
        <w:spacing w:after="0" w:line="240" w:lineRule="auto"/>
        <w:jc w:val="both"/>
        <w:rPr>
          <w:rFonts w:asciiTheme="minorHAnsi" w:hAnsiTheme="minorHAnsi" w:cstheme="minorHAnsi"/>
        </w:rPr>
      </w:pPr>
      <w:r w:rsidRPr="009D593A">
        <w:rPr>
          <w:rFonts w:asciiTheme="minorHAnsi" w:hAnsiTheme="minorHAnsi" w:cstheme="minorHAnsi"/>
          <w:b/>
          <w:bCs/>
        </w:rPr>
        <w:t xml:space="preserve">DRI tiene conocimiento de que al menos dos personas que laboran en el “Federico Mora” han </w:t>
      </w:r>
      <w:r w:rsidR="002F0CBB">
        <w:rPr>
          <w:rFonts w:asciiTheme="minorHAnsi" w:hAnsiTheme="minorHAnsi" w:cstheme="minorHAnsi"/>
          <w:b/>
          <w:bCs/>
        </w:rPr>
        <w:t xml:space="preserve">contraído el virus </w:t>
      </w:r>
      <w:r w:rsidRPr="009D593A">
        <w:rPr>
          <w:rFonts w:asciiTheme="minorHAnsi" w:hAnsiTheme="minorHAnsi" w:cstheme="minorHAnsi"/>
          <w:b/>
          <w:bCs/>
        </w:rPr>
        <w:t>COVID-19, y al menos 4 enfermeros y 47 pacientes están en cuarentena</w:t>
      </w:r>
      <w:r w:rsidRPr="009D593A">
        <w:rPr>
          <w:rFonts w:asciiTheme="minorHAnsi" w:hAnsiTheme="minorHAnsi" w:cstheme="minorHAnsi"/>
          <w:b/>
          <w:bCs/>
          <w:vertAlign w:val="superscript"/>
        </w:rPr>
        <w:footnoteReference w:id="19"/>
      </w:r>
      <w:r w:rsidRPr="009D593A">
        <w:rPr>
          <w:rFonts w:asciiTheme="minorHAnsi" w:hAnsiTheme="minorHAnsi" w:cstheme="minorHAnsi"/>
          <w:b/>
          <w:bCs/>
        </w:rPr>
        <w:t>.</w:t>
      </w:r>
      <w:r w:rsidR="00141E98" w:rsidRPr="009D593A">
        <w:rPr>
          <w:rFonts w:asciiTheme="minorHAnsi" w:hAnsiTheme="minorHAnsi" w:cstheme="minorHAnsi"/>
        </w:rPr>
        <w:t xml:space="preserve"> </w:t>
      </w:r>
      <w:r w:rsidRPr="009D593A">
        <w:rPr>
          <w:rFonts w:asciiTheme="minorHAnsi" w:hAnsiTheme="minorHAnsi" w:cstheme="minorHAnsi"/>
        </w:rPr>
        <w:t>Todas y todos los pacientes del “Federico Mora” se encuentran ante un riesgo inminente de contraer COVID-19 y morir debido a las condiciones antihigiénicas que persisten en el hospital; la ausencia de cualquier tratamiento médico adecuado para hacer frente a la crisis sanitaria;</w:t>
      </w:r>
      <w:r w:rsidR="002F0CBB">
        <w:rPr>
          <w:rFonts w:asciiTheme="minorHAnsi" w:hAnsiTheme="minorHAnsi" w:cstheme="minorHAnsi"/>
        </w:rPr>
        <w:t xml:space="preserve"> la imposibilidad de aislar a pacientes infectados en el hospital;</w:t>
      </w:r>
      <w:r w:rsidRPr="009D593A">
        <w:rPr>
          <w:rFonts w:asciiTheme="minorHAnsi" w:hAnsiTheme="minorHAnsi" w:cstheme="minorHAnsi"/>
        </w:rPr>
        <w:t xml:space="preserve"> la falta de servicios en la comunidad para atender a los pacientes en un entorno comunitario en igualdad de condiciones que los demás; y la inacción de las autoridades de salud frente a la crisis</w:t>
      </w:r>
      <w:r w:rsidR="003026B7" w:rsidRPr="009D593A">
        <w:rPr>
          <w:rFonts w:asciiTheme="minorHAnsi" w:hAnsiTheme="minorHAnsi" w:cstheme="minorHAnsi"/>
        </w:rPr>
        <w:t>,</w:t>
      </w:r>
      <w:r w:rsidRPr="009D593A">
        <w:rPr>
          <w:rFonts w:asciiTheme="minorHAnsi" w:hAnsiTheme="minorHAnsi" w:cstheme="minorHAnsi"/>
        </w:rPr>
        <w:t xml:space="preserve"> pese a que el Estado tiene “una responsabilidad mayor con esta población debido a la discriminación estructural que enfrentan”</w:t>
      </w:r>
      <w:r w:rsidRPr="009D593A">
        <w:rPr>
          <w:rFonts w:asciiTheme="minorHAnsi" w:hAnsiTheme="minorHAnsi" w:cstheme="minorHAnsi"/>
          <w:vertAlign w:val="superscript"/>
        </w:rPr>
        <w:footnoteReference w:id="20"/>
      </w:r>
      <w:r w:rsidRPr="009D593A">
        <w:rPr>
          <w:rFonts w:asciiTheme="minorHAnsi" w:hAnsiTheme="minorHAnsi" w:cstheme="minorHAnsi"/>
        </w:rPr>
        <w:t xml:space="preserve">. Como resultado, las y los pacientes del “Federico Mora” se encuentran en un riesgo inminente de muerte. </w:t>
      </w:r>
      <w:r w:rsidRPr="009D593A">
        <w:rPr>
          <w:rFonts w:asciiTheme="minorHAnsi" w:hAnsiTheme="minorHAnsi" w:cstheme="minorHAnsi"/>
          <w:b/>
          <w:bCs/>
        </w:rPr>
        <w:t xml:space="preserve">Dadas las experiencias en otros países, </w:t>
      </w:r>
      <w:r w:rsidR="00A951C6" w:rsidRPr="009D593A">
        <w:rPr>
          <w:rFonts w:asciiTheme="minorHAnsi" w:hAnsiTheme="minorHAnsi" w:cstheme="minorHAnsi"/>
          <w:b/>
          <w:bCs/>
        </w:rPr>
        <w:t>hay un riesgo cierto de que</w:t>
      </w:r>
      <w:r w:rsidRPr="009D593A">
        <w:rPr>
          <w:rFonts w:asciiTheme="minorHAnsi" w:hAnsiTheme="minorHAnsi" w:cstheme="minorHAnsi"/>
          <w:b/>
          <w:bCs/>
        </w:rPr>
        <w:t xml:space="preserve">, si no se toman las acciones necesarias, un gran número de pacientes detenidos en el </w:t>
      </w:r>
      <w:r w:rsidR="005D423B" w:rsidRPr="009D593A">
        <w:rPr>
          <w:rFonts w:asciiTheme="minorHAnsi" w:hAnsiTheme="minorHAnsi" w:cstheme="minorHAnsi"/>
          <w:b/>
          <w:bCs/>
        </w:rPr>
        <w:t>“</w:t>
      </w:r>
      <w:r w:rsidR="009327CB" w:rsidRPr="009D593A">
        <w:rPr>
          <w:rFonts w:asciiTheme="minorHAnsi" w:hAnsiTheme="minorHAnsi" w:cstheme="minorHAnsi"/>
          <w:b/>
          <w:bCs/>
        </w:rPr>
        <w:t>Federico</w:t>
      </w:r>
      <w:r w:rsidR="005D423B" w:rsidRPr="009D593A">
        <w:rPr>
          <w:rFonts w:asciiTheme="minorHAnsi" w:hAnsiTheme="minorHAnsi" w:cstheme="minorHAnsi"/>
          <w:b/>
          <w:bCs/>
        </w:rPr>
        <w:t xml:space="preserve"> M</w:t>
      </w:r>
      <w:r w:rsidR="009327CB" w:rsidRPr="009D593A">
        <w:rPr>
          <w:rFonts w:asciiTheme="minorHAnsi" w:hAnsiTheme="minorHAnsi" w:cstheme="minorHAnsi"/>
          <w:b/>
          <w:bCs/>
        </w:rPr>
        <w:t>ora</w:t>
      </w:r>
      <w:r w:rsidR="005D423B" w:rsidRPr="009D593A">
        <w:rPr>
          <w:rFonts w:asciiTheme="minorHAnsi" w:hAnsiTheme="minorHAnsi" w:cstheme="minorHAnsi"/>
          <w:b/>
          <w:bCs/>
        </w:rPr>
        <w:t>”</w:t>
      </w:r>
      <w:r w:rsidRPr="009D593A">
        <w:rPr>
          <w:rFonts w:asciiTheme="minorHAnsi" w:hAnsiTheme="minorHAnsi" w:cstheme="minorHAnsi"/>
          <w:b/>
          <w:bCs/>
        </w:rPr>
        <w:t xml:space="preserve"> mueran en las siguientes semanas.</w:t>
      </w:r>
    </w:p>
    <w:p w14:paraId="6C1EDEC5" w14:textId="51CF811B" w:rsidR="00473E79" w:rsidRPr="009D593A" w:rsidRDefault="00473E79" w:rsidP="00473E79">
      <w:pPr>
        <w:spacing w:after="0" w:line="240" w:lineRule="auto"/>
        <w:jc w:val="both"/>
        <w:rPr>
          <w:rFonts w:asciiTheme="minorHAnsi" w:hAnsiTheme="minorHAnsi" w:cstheme="minorHAnsi"/>
        </w:rPr>
      </w:pPr>
    </w:p>
    <w:p w14:paraId="5E6625E8" w14:textId="38EAACEF" w:rsidR="00473E79" w:rsidRPr="009D593A" w:rsidRDefault="00473E79" w:rsidP="004E2F37">
      <w:pPr>
        <w:pStyle w:val="ListParagraph"/>
        <w:numPr>
          <w:ilvl w:val="0"/>
          <w:numId w:val="9"/>
        </w:numPr>
        <w:spacing w:after="0" w:line="240" w:lineRule="auto"/>
        <w:jc w:val="both"/>
        <w:rPr>
          <w:rFonts w:asciiTheme="minorHAnsi" w:hAnsiTheme="minorHAnsi" w:cstheme="minorHAnsi"/>
        </w:rPr>
      </w:pPr>
      <w:r w:rsidRPr="009D593A">
        <w:rPr>
          <w:rFonts w:asciiTheme="minorHAnsi" w:hAnsiTheme="minorHAnsi" w:cstheme="minorHAnsi"/>
        </w:rPr>
        <w:t>Condiciones inadecuadas y antihigiénicas</w:t>
      </w:r>
      <w:r w:rsidR="00961716" w:rsidRPr="009D593A">
        <w:rPr>
          <w:rFonts w:asciiTheme="minorHAnsi" w:hAnsiTheme="minorHAnsi" w:cstheme="minorHAnsi"/>
        </w:rPr>
        <w:t xml:space="preserve"> persisten en el Federico Mora</w:t>
      </w:r>
    </w:p>
    <w:p w14:paraId="22261BA3" w14:textId="77777777" w:rsidR="00473E79" w:rsidRPr="009D593A" w:rsidRDefault="00473E79" w:rsidP="00473E79">
      <w:pPr>
        <w:spacing w:after="0" w:line="240" w:lineRule="auto"/>
        <w:jc w:val="both"/>
        <w:rPr>
          <w:rFonts w:asciiTheme="minorHAnsi" w:hAnsiTheme="minorHAnsi" w:cstheme="minorHAnsi"/>
        </w:rPr>
      </w:pPr>
    </w:p>
    <w:p w14:paraId="57D7B58C" w14:textId="2AFF00DA" w:rsidR="00473E79" w:rsidRPr="009D593A" w:rsidRDefault="00473E79" w:rsidP="00473E79">
      <w:pPr>
        <w:spacing w:after="0" w:line="240" w:lineRule="auto"/>
        <w:jc w:val="both"/>
        <w:rPr>
          <w:rFonts w:asciiTheme="minorHAnsi" w:hAnsiTheme="minorHAnsi" w:cstheme="minorHAnsi"/>
        </w:rPr>
      </w:pPr>
      <w:r w:rsidRPr="009D593A">
        <w:rPr>
          <w:rFonts w:asciiTheme="minorHAnsi" w:hAnsiTheme="minorHAnsi" w:cstheme="minorHAnsi"/>
        </w:rPr>
        <w:t>Esta Honorable Comisión ha hecho un llamado a los Estados a “adecuar las condiciones de detención de las personas privadas de libertad particularmente en lo que respecta a alimentación, salud, saneamiento y medidas de cuarentena para impedir el contagio intramuros del COVID-19, garantizando en particular que todas las unidades cuenten con atención médica.”</w:t>
      </w:r>
      <w:r w:rsidRPr="009D593A">
        <w:rPr>
          <w:rFonts w:asciiTheme="minorHAnsi" w:hAnsiTheme="minorHAnsi" w:cstheme="minorHAnsi"/>
          <w:vertAlign w:val="superscript"/>
        </w:rPr>
        <w:footnoteReference w:id="21"/>
      </w:r>
    </w:p>
    <w:p w14:paraId="13D06D5C" w14:textId="3E0024CF" w:rsidR="00473E79" w:rsidRPr="009D593A" w:rsidRDefault="00473E79" w:rsidP="00473E79">
      <w:pPr>
        <w:spacing w:after="0" w:line="240" w:lineRule="auto"/>
        <w:jc w:val="both"/>
        <w:rPr>
          <w:rFonts w:asciiTheme="minorHAnsi" w:hAnsiTheme="minorHAnsi" w:cstheme="minorHAnsi"/>
        </w:rPr>
      </w:pPr>
    </w:p>
    <w:p w14:paraId="07DB708C" w14:textId="190A60BE" w:rsidR="00473E79" w:rsidRPr="009D593A" w:rsidRDefault="00473E79" w:rsidP="00473E79">
      <w:pPr>
        <w:spacing w:after="0" w:line="240" w:lineRule="auto"/>
        <w:jc w:val="both"/>
        <w:rPr>
          <w:rFonts w:asciiTheme="minorHAnsi" w:hAnsiTheme="minorHAnsi" w:cstheme="minorHAnsi"/>
        </w:rPr>
      </w:pPr>
      <w:r w:rsidRPr="009D593A">
        <w:rPr>
          <w:rFonts w:asciiTheme="minorHAnsi" w:hAnsiTheme="minorHAnsi" w:cstheme="minorHAnsi"/>
        </w:rPr>
        <w:lastRenderedPageBreak/>
        <w:t xml:space="preserve">Sin embargo, desde el año 2012, DRI ha informado a la CIDH sobre las condiciones inhumanas y degradantes en las que viven las y los pacientes del “Federico Mora” como el hacinamiento, las condiciones antihigiénicas, la falta de atención médica y la deficiencia en la alimentación. Todos estos son factores que persisten en la institución </w:t>
      </w:r>
      <w:r w:rsidR="002F0CBB">
        <w:rPr>
          <w:rFonts w:asciiTheme="minorHAnsi" w:hAnsiTheme="minorHAnsi" w:cstheme="minorHAnsi"/>
        </w:rPr>
        <w:t xml:space="preserve">y </w:t>
      </w:r>
      <w:r w:rsidRPr="009D593A">
        <w:rPr>
          <w:rFonts w:asciiTheme="minorHAnsi" w:hAnsiTheme="minorHAnsi" w:cstheme="minorHAnsi"/>
        </w:rPr>
        <w:t>pueden agravar los riesgos de contagio por COVID-19 al interior del “Federico Mora”</w:t>
      </w:r>
      <w:r w:rsidRPr="009D593A">
        <w:rPr>
          <w:rFonts w:asciiTheme="minorHAnsi" w:hAnsiTheme="minorHAnsi" w:cstheme="minorHAnsi"/>
          <w:vertAlign w:val="superscript"/>
        </w:rPr>
        <w:footnoteReference w:id="22"/>
      </w:r>
      <w:r w:rsidRPr="009D593A">
        <w:rPr>
          <w:rFonts w:asciiTheme="minorHAnsi" w:hAnsiTheme="minorHAnsi" w:cstheme="minorHAnsi"/>
        </w:rPr>
        <w:t>.</w:t>
      </w:r>
    </w:p>
    <w:p w14:paraId="2690F07E" w14:textId="5AE1A082" w:rsidR="00473E79" w:rsidRPr="009D593A" w:rsidRDefault="00473E79" w:rsidP="00473E79">
      <w:pPr>
        <w:spacing w:after="0" w:line="240" w:lineRule="auto"/>
        <w:jc w:val="both"/>
        <w:rPr>
          <w:rFonts w:asciiTheme="minorHAnsi" w:hAnsiTheme="minorHAnsi" w:cstheme="minorHAnsi"/>
        </w:rPr>
      </w:pPr>
    </w:p>
    <w:p w14:paraId="469B42AC" w14:textId="5AA375CC" w:rsidR="00473E79" w:rsidRPr="009D593A" w:rsidRDefault="00473E79" w:rsidP="00473E79">
      <w:pPr>
        <w:spacing w:after="0" w:line="240" w:lineRule="auto"/>
        <w:jc w:val="both"/>
        <w:rPr>
          <w:rFonts w:asciiTheme="minorHAnsi" w:hAnsiTheme="minorHAnsi" w:cstheme="minorHAnsi"/>
        </w:rPr>
      </w:pPr>
      <w:r w:rsidRPr="009D593A">
        <w:rPr>
          <w:rFonts w:asciiTheme="minorHAnsi" w:hAnsiTheme="minorHAnsi" w:cstheme="minorHAnsi"/>
        </w:rPr>
        <w:t xml:space="preserve">La propagación de enfermedades infecciosas al interior del “Federico Mora” es un tema del que DRI ya había alertado en 2012 en la </w:t>
      </w:r>
      <w:r w:rsidR="00A951C6" w:rsidRPr="009D593A">
        <w:rPr>
          <w:rFonts w:asciiTheme="minorHAnsi" w:hAnsiTheme="minorHAnsi" w:cstheme="minorHAnsi"/>
        </w:rPr>
        <w:t>solicitud</w:t>
      </w:r>
      <w:r w:rsidRPr="009D593A">
        <w:rPr>
          <w:rFonts w:asciiTheme="minorHAnsi" w:hAnsiTheme="minorHAnsi" w:cstheme="minorHAnsi"/>
        </w:rPr>
        <w:t xml:space="preserve"> original de la medida cautelar.</w:t>
      </w:r>
      <w:r w:rsidR="0092239C" w:rsidRPr="009D593A">
        <w:rPr>
          <w:rFonts w:asciiTheme="minorHAnsi" w:hAnsiTheme="minorHAnsi" w:cstheme="minorHAnsi"/>
        </w:rPr>
        <w:t xml:space="preserve"> </w:t>
      </w:r>
      <w:r w:rsidRPr="009D593A">
        <w:rPr>
          <w:rFonts w:asciiTheme="minorHAnsi" w:hAnsiTheme="minorHAnsi" w:cstheme="minorHAnsi"/>
        </w:rPr>
        <w:t xml:space="preserve">En dicha </w:t>
      </w:r>
      <w:r w:rsidR="004D2F5D" w:rsidRPr="009D593A">
        <w:rPr>
          <w:rFonts w:asciiTheme="minorHAnsi" w:hAnsiTheme="minorHAnsi" w:cstheme="minorHAnsi"/>
        </w:rPr>
        <w:t>solicitud</w:t>
      </w:r>
      <w:r w:rsidR="00AE4F85" w:rsidRPr="009D593A">
        <w:rPr>
          <w:rFonts w:asciiTheme="minorHAnsi" w:hAnsiTheme="minorHAnsi" w:cstheme="minorHAnsi"/>
        </w:rPr>
        <w:t>,</w:t>
      </w:r>
      <w:r w:rsidRPr="009D593A">
        <w:rPr>
          <w:rFonts w:asciiTheme="minorHAnsi" w:hAnsiTheme="minorHAnsi" w:cstheme="minorHAnsi"/>
        </w:rPr>
        <w:t xml:space="preserve"> DRI hizo referencia al alto número de muertes en la institución por infecciones contagiosas, principalmente diarrea y neumonía. DRI también alertó sobre la negligencia y la falta de atención médica que se reflejaba en: a) la falta de separación entre los pacientes con enfermedades infecciosas y el resto de la población, dejando a esta última en una situación de riesgo innecesario de contraer dichas enfermedades, y b) el gran número de pacientes con ropa sucia cubierta con su propia orina o heces</w:t>
      </w:r>
      <w:r w:rsidRPr="009D593A">
        <w:rPr>
          <w:rFonts w:asciiTheme="minorHAnsi" w:hAnsiTheme="minorHAnsi" w:cstheme="minorHAnsi"/>
          <w:vertAlign w:val="superscript"/>
        </w:rPr>
        <w:footnoteReference w:id="23"/>
      </w:r>
      <w:r w:rsidRPr="009D593A">
        <w:rPr>
          <w:rFonts w:asciiTheme="minorHAnsi" w:hAnsiTheme="minorHAnsi" w:cstheme="minorHAnsi"/>
        </w:rPr>
        <w:t>. Respecto a las heces fecales, la OMS ha señalado que, aunque la propagación de</w:t>
      </w:r>
      <w:r w:rsidR="00EB0ABF" w:rsidRPr="009D593A">
        <w:rPr>
          <w:rFonts w:asciiTheme="minorHAnsi" w:hAnsiTheme="minorHAnsi" w:cstheme="minorHAnsi"/>
        </w:rPr>
        <w:t>l</w:t>
      </w:r>
      <w:r w:rsidRPr="009D593A">
        <w:rPr>
          <w:rFonts w:asciiTheme="minorHAnsi" w:hAnsiTheme="minorHAnsi" w:cstheme="minorHAnsi"/>
        </w:rPr>
        <w:t xml:space="preserve"> COVID-19 por esta vía no es uno de los rasgos característicos del brote, “las investigaciones iniciales apuntan a que el virus puede estar presente en algunos casos en las heces”</w:t>
      </w:r>
      <w:r w:rsidRPr="009D593A">
        <w:rPr>
          <w:rFonts w:asciiTheme="minorHAnsi" w:hAnsiTheme="minorHAnsi" w:cstheme="minorHAnsi"/>
          <w:vertAlign w:val="superscript"/>
        </w:rPr>
        <w:footnoteReference w:id="24"/>
      </w:r>
      <w:r w:rsidRPr="009D593A">
        <w:rPr>
          <w:rFonts w:asciiTheme="minorHAnsi" w:hAnsiTheme="minorHAnsi" w:cstheme="minorHAnsi"/>
        </w:rPr>
        <w:t>.</w:t>
      </w:r>
    </w:p>
    <w:p w14:paraId="1CD78FBE" w14:textId="1A5B5369" w:rsidR="00473E79" w:rsidRPr="009D593A" w:rsidRDefault="00473E79" w:rsidP="00473E79">
      <w:pPr>
        <w:spacing w:after="0" w:line="240" w:lineRule="auto"/>
        <w:jc w:val="both"/>
        <w:rPr>
          <w:rFonts w:asciiTheme="minorHAnsi" w:hAnsiTheme="minorHAnsi" w:cstheme="minorHAnsi"/>
        </w:rPr>
      </w:pPr>
    </w:p>
    <w:p w14:paraId="4BAB2447" w14:textId="27BC80E3" w:rsidR="00473E79" w:rsidRPr="009D593A" w:rsidRDefault="00473E79" w:rsidP="00473E79">
      <w:pPr>
        <w:spacing w:after="0" w:line="240" w:lineRule="auto"/>
        <w:jc w:val="both"/>
        <w:rPr>
          <w:rFonts w:asciiTheme="minorHAnsi" w:hAnsiTheme="minorHAnsi" w:cstheme="minorHAnsi"/>
        </w:rPr>
      </w:pPr>
      <w:r w:rsidRPr="009D593A">
        <w:rPr>
          <w:rFonts w:asciiTheme="minorHAnsi" w:hAnsiTheme="minorHAnsi" w:cstheme="minorHAnsi"/>
        </w:rPr>
        <w:t xml:space="preserve">En 2017, en </w:t>
      </w:r>
      <w:r w:rsidR="002F0CBB">
        <w:rPr>
          <w:rFonts w:asciiTheme="minorHAnsi" w:hAnsiTheme="minorHAnsi" w:cstheme="minorHAnsi"/>
        </w:rPr>
        <w:t xml:space="preserve">su </w:t>
      </w:r>
      <w:r w:rsidRPr="009D593A">
        <w:rPr>
          <w:rFonts w:asciiTheme="minorHAnsi" w:hAnsiTheme="minorHAnsi" w:cstheme="minorHAnsi"/>
        </w:rPr>
        <w:t>informe “La situación de derechos humanos en Guatemala”, esta H</w:t>
      </w:r>
      <w:r w:rsidR="00E946D1" w:rsidRPr="009D593A">
        <w:rPr>
          <w:rFonts w:asciiTheme="minorHAnsi" w:hAnsiTheme="minorHAnsi" w:cstheme="minorHAnsi"/>
        </w:rPr>
        <w:t>onorable</w:t>
      </w:r>
      <w:r w:rsidRPr="009D593A">
        <w:rPr>
          <w:rFonts w:asciiTheme="minorHAnsi" w:hAnsiTheme="minorHAnsi" w:cstheme="minorHAnsi"/>
        </w:rPr>
        <w:t xml:space="preserve"> Comisión reiteró que la situación del “Federico Mora” “refleja la desprotección de las personas con discapacidad en Guatemala”</w:t>
      </w:r>
      <w:r w:rsidRPr="009D593A">
        <w:rPr>
          <w:rFonts w:asciiTheme="minorHAnsi" w:hAnsiTheme="minorHAnsi" w:cstheme="minorHAnsi"/>
          <w:vertAlign w:val="superscript"/>
        </w:rPr>
        <w:footnoteReference w:id="25"/>
      </w:r>
      <w:r w:rsidRPr="009D593A">
        <w:rPr>
          <w:rFonts w:asciiTheme="minorHAnsi" w:hAnsiTheme="minorHAnsi" w:cstheme="minorHAnsi"/>
        </w:rPr>
        <w:t xml:space="preserve"> e hizo referencia a las condiciones antihigiénicas e insalubres que per</w:t>
      </w:r>
      <w:r w:rsidR="002F0CBB">
        <w:rPr>
          <w:rFonts w:asciiTheme="minorHAnsi" w:hAnsiTheme="minorHAnsi" w:cstheme="minorHAnsi"/>
        </w:rPr>
        <w:t>sisten</w:t>
      </w:r>
      <w:r w:rsidRPr="009D593A">
        <w:rPr>
          <w:rFonts w:asciiTheme="minorHAnsi" w:hAnsiTheme="minorHAnsi" w:cstheme="minorHAnsi"/>
        </w:rPr>
        <w:t xml:space="preserve"> en </w:t>
      </w:r>
      <w:r w:rsidR="002F0CBB">
        <w:rPr>
          <w:rFonts w:asciiTheme="minorHAnsi" w:hAnsiTheme="minorHAnsi" w:cstheme="minorHAnsi"/>
        </w:rPr>
        <w:t>la institución</w:t>
      </w:r>
      <w:r w:rsidRPr="009D593A">
        <w:rPr>
          <w:rFonts w:asciiTheme="minorHAnsi" w:hAnsiTheme="minorHAnsi" w:cstheme="minorHAnsi"/>
        </w:rPr>
        <w:t xml:space="preserve">, “lo que propicia la </w:t>
      </w:r>
      <w:r w:rsidRPr="009D593A">
        <w:rPr>
          <w:rFonts w:asciiTheme="minorHAnsi" w:hAnsiTheme="minorHAnsi" w:cstheme="minorHAnsi"/>
          <w:u w:val="single"/>
        </w:rPr>
        <w:t>propagación de enfermedades infecciosas</w:t>
      </w:r>
      <w:r w:rsidRPr="009D593A">
        <w:rPr>
          <w:rFonts w:asciiTheme="minorHAnsi" w:hAnsiTheme="minorHAnsi" w:cstheme="minorHAnsi"/>
        </w:rPr>
        <w:t xml:space="preserve"> y constituye una amenaza inmediata a la salud y vida de las personas internadas”</w:t>
      </w:r>
      <w:r w:rsidRPr="009D593A">
        <w:rPr>
          <w:rFonts w:asciiTheme="minorHAnsi" w:hAnsiTheme="minorHAnsi" w:cstheme="minorHAnsi"/>
          <w:vertAlign w:val="superscript"/>
        </w:rPr>
        <w:footnoteReference w:id="26"/>
      </w:r>
      <w:r w:rsidRPr="009D593A">
        <w:rPr>
          <w:rFonts w:asciiTheme="minorHAnsi" w:hAnsiTheme="minorHAnsi" w:cstheme="minorHAnsi"/>
        </w:rPr>
        <w:t xml:space="preserve"> (énfasis añadido). </w:t>
      </w:r>
    </w:p>
    <w:p w14:paraId="3C9BB32B" w14:textId="0DB8C8D9" w:rsidR="00473E79" w:rsidRPr="009D593A" w:rsidRDefault="00473E79" w:rsidP="00473E79">
      <w:pPr>
        <w:spacing w:after="0" w:line="240" w:lineRule="auto"/>
        <w:jc w:val="both"/>
        <w:rPr>
          <w:rFonts w:asciiTheme="minorHAnsi" w:hAnsiTheme="minorHAnsi" w:cstheme="minorHAnsi"/>
        </w:rPr>
      </w:pPr>
    </w:p>
    <w:p w14:paraId="6B08BC36" w14:textId="48FC56EE" w:rsidR="00473E79" w:rsidRPr="009D593A" w:rsidRDefault="00473E79" w:rsidP="002F0CBB">
      <w:pPr>
        <w:spacing w:after="0" w:line="240" w:lineRule="auto"/>
        <w:jc w:val="both"/>
        <w:rPr>
          <w:rFonts w:asciiTheme="minorHAnsi" w:hAnsiTheme="minorHAnsi" w:cstheme="minorHAnsi"/>
        </w:rPr>
      </w:pPr>
      <w:r w:rsidRPr="009D593A">
        <w:rPr>
          <w:rFonts w:asciiTheme="minorHAnsi" w:hAnsiTheme="minorHAnsi" w:cstheme="minorHAnsi"/>
        </w:rPr>
        <w:t xml:space="preserve">En los últimos años DRI ha hecho del conocimiento de </w:t>
      </w:r>
      <w:r w:rsidR="00E946D1" w:rsidRPr="009D593A">
        <w:rPr>
          <w:rFonts w:asciiTheme="minorHAnsi" w:hAnsiTheme="minorHAnsi" w:cstheme="minorHAnsi"/>
        </w:rPr>
        <w:t>la</w:t>
      </w:r>
      <w:r w:rsidRPr="009D593A">
        <w:rPr>
          <w:rFonts w:asciiTheme="minorHAnsi" w:hAnsiTheme="minorHAnsi" w:cstheme="minorHAnsi"/>
        </w:rPr>
        <w:t xml:space="preserve"> Comisión que las condiciones en el “Federico Mora” han cambiado muy poco. Las principales recomendaciones para prevenir la propagación del virus COVID-19 son el lavado constante de superficies y de las manos</w:t>
      </w:r>
      <w:r w:rsidRPr="009D593A">
        <w:rPr>
          <w:rFonts w:asciiTheme="minorHAnsi" w:hAnsiTheme="minorHAnsi" w:cstheme="minorHAnsi"/>
          <w:vertAlign w:val="superscript"/>
        </w:rPr>
        <w:footnoteReference w:id="27"/>
      </w:r>
      <w:r w:rsidRPr="009D593A">
        <w:rPr>
          <w:rFonts w:asciiTheme="minorHAnsi" w:hAnsiTheme="minorHAnsi" w:cstheme="minorHAnsi"/>
        </w:rPr>
        <w:t>. Sin embargo, en febrero de 2020, el equipo de investigación de DRI visitó el “Federico Mora”, y encontró que muchas de las condiciones antihigiénicas prevalecen.</w:t>
      </w:r>
      <w:r w:rsidR="002F0CBB">
        <w:rPr>
          <w:rFonts w:asciiTheme="minorHAnsi" w:hAnsiTheme="minorHAnsi" w:cstheme="minorHAnsi"/>
        </w:rPr>
        <w:t xml:space="preserve"> </w:t>
      </w:r>
      <w:r w:rsidRPr="009D593A">
        <w:rPr>
          <w:rFonts w:asciiTheme="minorHAnsi" w:hAnsiTheme="minorHAnsi" w:cstheme="minorHAnsi"/>
        </w:rPr>
        <w:t>DRI observó pacientes descalzos dentro y fuera de los pabellones, con ropa sucia e inadecuada, también había personas desayunando en el suelo. DRI realizó la visita muy temprano por la mañana y notó que las personas no traían suéter ni ropa con qué cubrirse, lo que también puede propiciar enfermedades respiratorias. El equipo de investigación observó a dos pacientes defecando en las áreas abiertas del hospital. También se observaron pilas de ropa en los rincones de los pabellones.</w:t>
      </w:r>
      <w:r w:rsidR="00141E98" w:rsidRPr="009D593A">
        <w:rPr>
          <w:rFonts w:asciiTheme="minorHAnsi" w:hAnsiTheme="minorHAnsi" w:cstheme="minorHAnsi"/>
        </w:rPr>
        <w:t xml:space="preserve"> </w:t>
      </w:r>
      <w:r w:rsidR="00141E98" w:rsidRPr="009D593A">
        <w:rPr>
          <w:rFonts w:asciiTheme="minorHAnsi" w:hAnsiTheme="minorHAnsi" w:cstheme="minorHAnsi"/>
          <w:lang w:val="es-ES"/>
        </w:rPr>
        <w:t xml:space="preserve">DRI enviará, en breve, un informe de hallazgos de </w:t>
      </w:r>
      <w:r w:rsidR="00811792" w:rsidRPr="009D593A">
        <w:rPr>
          <w:rFonts w:asciiTheme="minorHAnsi" w:hAnsiTheme="minorHAnsi" w:cstheme="minorHAnsi"/>
          <w:lang w:val="es-ES"/>
        </w:rPr>
        <w:t>l</w:t>
      </w:r>
      <w:r w:rsidR="00141E98" w:rsidRPr="009D593A">
        <w:rPr>
          <w:rFonts w:asciiTheme="minorHAnsi" w:hAnsiTheme="minorHAnsi" w:cstheme="minorHAnsi"/>
          <w:lang w:val="es-ES"/>
        </w:rPr>
        <w:t>a visita de febrero de 2020 con el respaldo de nuestra video documentación.</w:t>
      </w:r>
    </w:p>
    <w:p w14:paraId="04FDE3E9" w14:textId="77777777" w:rsidR="00473E79" w:rsidRPr="009D593A" w:rsidRDefault="00473E79" w:rsidP="00473E79">
      <w:pPr>
        <w:spacing w:after="0" w:line="240" w:lineRule="auto"/>
        <w:jc w:val="both"/>
        <w:rPr>
          <w:rFonts w:asciiTheme="minorHAnsi" w:hAnsiTheme="minorHAnsi" w:cstheme="minorHAnsi"/>
        </w:rPr>
      </w:pPr>
    </w:p>
    <w:p w14:paraId="7B1DF2B8" w14:textId="21582F6F" w:rsidR="006604AC" w:rsidRPr="009D593A" w:rsidRDefault="006604AC" w:rsidP="006604AC">
      <w:pPr>
        <w:spacing w:after="0" w:line="240" w:lineRule="auto"/>
        <w:jc w:val="both"/>
        <w:rPr>
          <w:rFonts w:asciiTheme="minorHAnsi" w:hAnsiTheme="minorHAnsi" w:cstheme="minorHAnsi"/>
        </w:rPr>
      </w:pPr>
      <w:r w:rsidRPr="009D593A">
        <w:rPr>
          <w:rFonts w:asciiTheme="minorHAnsi" w:hAnsiTheme="minorHAnsi" w:cstheme="minorHAnsi"/>
        </w:rPr>
        <w:t>A raíz de la crisis sanitaria que enfrenta el hospital y pese a que se han confirmado casos de COVID-19 en el “Federico Mora”</w:t>
      </w:r>
      <w:r w:rsidRPr="009D593A">
        <w:rPr>
          <w:rFonts w:asciiTheme="minorHAnsi" w:hAnsiTheme="minorHAnsi" w:cstheme="minorHAnsi"/>
          <w:vertAlign w:val="superscript"/>
        </w:rPr>
        <w:footnoteReference w:id="28"/>
      </w:r>
      <w:r w:rsidRPr="009D593A">
        <w:rPr>
          <w:rFonts w:asciiTheme="minorHAnsi" w:hAnsiTheme="minorHAnsi" w:cstheme="minorHAnsi"/>
        </w:rPr>
        <w:t xml:space="preserve">, “[s]egún los trabajadores no reciben guantes ni tienen ninguna otra </w:t>
      </w:r>
      <w:r w:rsidRPr="009D593A">
        <w:rPr>
          <w:rFonts w:asciiTheme="minorHAnsi" w:hAnsiTheme="minorHAnsi" w:cstheme="minorHAnsi"/>
        </w:rPr>
        <w:lastRenderedPageBreak/>
        <w:t>medida de protección”</w:t>
      </w:r>
      <w:r w:rsidRPr="009D593A">
        <w:rPr>
          <w:rFonts w:asciiTheme="minorHAnsi" w:hAnsiTheme="minorHAnsi" w:cstheme="minorHAnsi"/>
          <w:vertAlign w:val="superscript"/>
        </w:rPr>
        <w:footnoteReference w:id="29"/>
      </w:r>
      <w:r w:rsidRPr="009D593A">
        <w:rPr>
          <w:rFonts w:asciiTheme="minorHAnsi" w:hAnsiTheme="minorHAnsi" w:cstheme="minorHAnsi"/>
        </w:rPr>
        <w:t>. “No tenemos mascarillas N-95, no tenemos lentes adecuados, lo que usamos lo compramos de nuestra bolsa”, señaló uno de los enfermeros</w:t>
      </w:r>
      <w:r w:rsidRPr="009D593A">
        <w:rPr>
          <w:rStyle w:val="FootnoteReference"/>
          <w:rFonts w:asciiTheme="minorHAnsi" w:hAnsiTheme="minorHAnsi" w:cstheme="minorHAnsi"/>
        </w:rPr>
        <w:footnoteReference w:id="30"/>
      </w:r>
      <w:r w:rsidRPr="009D593A">
        <w:rPr>
          <w:rFonts w:asciiTheme="minorHAnsi" w:hAnsiTheme="minorHAnsi" w:cstheme="minorHAnsi"/>
        </w:rPr>
        <w:t xml:space="preserve">. </w:t>
      </w:r>
      <w:r w:rsidR="00C659B3" w:rsidRPr="009D593A">
        <w:rPr>
          <w:rFonts w:asciiTheme="minorHAnsi" w:hAnsiTheme="minorHAnsi" w:cstheme="minorHAnsi"/>
        </w:rPr>
        <w:t>S</w:t>
      </w:r>
      <w:r w:rsidRPr="009D593A">
        <w:rPr>
          <w:rFonts w:asciiTheme="minorHAnsi" w:hAnsiTheme="minorHAnsi" w:cstheme="minorHAnsi"/>
        </w:rPr>
        <w:t>egún el Defensor de las Personas con Discapacidad de Guatemala “[h]asta el momento no existe ningún protocolo específico para personas con discapacidad [psico]social, privadas de libertad, así como niños y niñas que se encuentran bajo resguardo del Estado”</w:t>
      </w:r>
      <w:r w:rsidRPr="009D593A">
        <w:rPr>
          <w:rFonts w:asciiTheme="minorHAnsi" w:hAnsiTheme="minorHAnsi" w:cstheme="minorHAnsi"/>
          <w:vertAlign w:val="superscript"/>
        </w:rPr>
        <w:footnoteReference w:id="31"/>
      </w:r>
      <w:r w:rsidRPr="009D593A">
        <w:rPr>
          <w:rFonts w:asciiTheme="minorHAnsi" w:hAnsiTheme="minorHAnsi" w:cstheme="minorHAnsi"/>
        </w:rPr>
        <w:t>.</w:t>
      </w:r>
    </w:p>
    <w:p w14:paraId="2098C127" w14:textId="3854D8AA" w:rsidR="00473E79" w:rsidRPr="009D593A" w:rsidRDefault="00473E79" w:rsidP="00473E79">
      <w:pPr>
        <w:spacing w:after="0" w:line="240" w:lineRule="auto"/>
        <w:jc w:val="both"/>
        <w:rPr>
          <w:rFonts w:asciiTheme="minorHAnsi" w:hAnsiTheme="minorHAnsi" w:cstheme="minorHAnsi"/>
        </w:rPr>
      </w:pPr>
    </w:p>
    <w:p w14:paraId="69B81D1B" w14:textId="46DA14ED" w:rsidR="006604AC" w:rsidRPr="009D593A" w:rsidRDefault="006604AC" w:rsidP="004E2F37">
      <w:pPr>
        <w:pStyle w:val="ListParagraph"/>
        <w:numPr>
          <w:ilvl w:val="0"/>
          <w:numId w:val="9"/>
        </w:numPr>
        <w:spacing w:line="240" w:lineRule="auto"/>
        <w:jc w:val="both"/>
        <w:rPr>
          <w:rFonts w:asciiTheme="minorHAnsi" w:hAnsiTheme="minorHAnsi" w:cstheme="minorHAnsi"/>
        </w:rPr>
      </w:pPr>
      <w:r w:rsidRPr="009D593A">
        <w:rPr>
          <w:rFonts w:asciiTheme="minorHAnsi" w:hAnsiTheme="minorHAnsi" w:cstheme="minorHAnsi"/>
        </w:rPr>
        <w:t xml:space="preserve">Completa falta de tratamiento médico </w:t>
      </w:r>
      <w:r w:rsidRPr="009D593A">
        <w:rPr>
          <w:rFonts w:asciiTheme="minorHAnsi" w:hAnsiTheme="minorHAnsi" w:cstheme="minorHAnsi"/>
          <w:lang w:val="es-ES"/>
        </w:rPr>
        <w:t>y acciones para contener la crisis de salud que enfrenta el hospital</w:t>
      </w:r>
    </w:p>
    <w:p w14:paraId="167D959A" w14:textId="6F338834" w:rsidR="006604AC" w:rsidRPr="009D593A" w:rsidRDefault="006604AC" w:rsidP="006604AC">
      <w:pPr>
        <w:spacing w:line="240" w:lineRule="auto"/>
        <w:jc w:val="both"/>
        <w:rPr>
          <w:rFonts w:asciiTheme="minorHAnsi" w:hAnsiTheme="minorHAnsi" w:cstheme="minorHAnsi"/>
        </w:rPr>
      </w:pPr>
      <w:r w:rsidRPr="009D593A">
        <w:rPr>
          <w:rFonts w:asciiTheme="minorHAnsi" w:hAnsiTheme="minorHAnsi" w:cstheme="minorHAnsi"/>
        </w:rPr>
        <w:t xml:space="preserve">DRI ha recibido información sobre una completa falta de tratamiento médico ante la crisis sanitaria que viven las y los pacientes en el </w:t>
      </w:r>
      <w:r w:rsidR="005D423B" w:rsidRPr="009D593A">
        <w:rPr>
          <w:rFonts w:asciiTheme="minorHAnsi" w:hAnsiTheme="minorHAnsi" w:cstheme="minorHAnsi"/>
        </w:rPr>
        <w:t>“F</w:t>
      </w:r>
      <w:r w:rsidR="00604A19" w:rsidRPr="009D593A">
        <w:rPr>
          <w:rFonts w:asciiTheme="minorHAnsi" w:hAnsiTheme="minorHAnsi" w:cstheme="minorHAnsi"/>
        </w:rPr>
        <w:t>ederico</w:t>
      </w:r>
      <w:r w:rsidR="005D423B" w:rsidRPr="009D593A">
        <w:rPr>
          <w:rFonts w:asciiTheme="minorHAnsi" w:hAnsiTheme="minorHAnsi" w:cstheme="minorHAnsi"/>
        </w:rPr>
        <w:t xml:space="preserve"> M</w:t>
      </w:r>
      <w:r w:rsidR="00604A19" w:rsidRPr="009D593A">
        <w:rPr>
          <w:rFonts w:asciiTheme="minorHAnsi" w:hAnsiTheme="minorHAnsi" w:cstheme="minorHAnsi"/>
        </w:rPr>
        <w:t>ora</w:t>
      </w:r>
      <w:r w:rsidR="005D423B" w:rsidRPr="009D593A">
        <w:rPr>
          <w:rFonts w:asciiTheme="minorHAnsi" w:hAnsiTheme="minorHAnsi" w:cstheme="minorHAnsi"/>
        </w:rPr>
        <w:t>”</w:t>
      </w:r>
      <w:r w:rsidRPr="009D593A">
        <w:rPr>
          <w:rFonts w:asciiTheme="minorHAnsi" w:hAnsiTheme="minorHAnsi" w:cstheme="minorHAnsi"/>
        </w:rPr>
        <w:t xml:space="preserve">. Las respuestas que el hospital ha tomado </w:t>
      </w:r>
      <w:r w:rsidRPr="009D593A">
        <w:rPr>
          <w:rFonts w:asciiTheme="minorHAnsi" w:hAnsiTheme="minorHAnsi" w:cstheme="minorHAnsi"/>
          <w:lang w:val="es-ES"/>
        </w:rPr>
        <w:t>para abordar la situación han puesto a más pacientes en riesgo e incluyen aislar a personal infectado con COVID-19 con pacientes sin síntomas</w:t>
      </w:r>
      <w:r w:rsidRPr="009D593A">
        <w:rPr>
          <w:rFonts w:asciiTheme="minorHAnsi" w:hAnsiTheme="minorHAnsi" w:cstheme="minorHAnsi"/>
        </w:rPr>
        <w:t>. Actualmente</w:t>
      </w:r>
      <w:r w:rsidR="004811BE">
        <w:rPr>
          <w:rFonts w:asciiTheme="minorHAnsi" w:hAnsiTheme="minorHAnsi" w:cstheme="minorHAnsi"/>
        </w:rPr>
        <w:t>,</w:t>
      </w:r>
      <w:r w:rsidRPr="009D593A">
        <w:rPr>
          <w:rFonts w:asciiTheme="minorHAnsi" w:hAnsiTheme="minorHAnsi" w:cstheme="minorHAnsi"/>
        </w:rPr>
        <w:t xml:space="preserve"> el pabellón intensivo A de hombres está </w:t>
      </w:r>
      <w:r w:rsidR="004811BE">
        <w:rPr>
          <w:rFonts w:asciiTheme="minorHAnsi" w:hAnsiTheme="minorHAnsi" w:cstheme="minorHAnsi"/>
        </w:rPr>
        <w:t>‘</w:t>
      </w:r>
      <w:r w:rsidRPr="009D593A">
        <w:rPr>
          <w:rFonts w:asciiTheme="minorHAnsi" w:hAnsiTheme="minorHAnsi" w:cstheme="minorHAnsi"/>
        </w:rPr>
        <w:t>aislado</w:t>
      </w:r>
      <w:r w:rsidR="004811BE">
        <w:rPr>
          <w:rFonts w:asciiTheme="minorHAnsi" w:hAnsiTheme="minorHAnsi" w:cstheme="minorHAnsi"/>
        </w:rPr>
        <w:t>’</w:t>
      </w:r>
      <w:r w:rsidRPr="009D593A">
        <w:rPr>
          <w:rFonts w:asciiTheme="minorHAnsi" w:hAnsiTheme="minorHAnsi" w:cstheme="minorHAnsi"/>
        </w:rPr>
        <w:t xml:space="preserve"> del resto debido a que dos enfermeros de este pabellón contrajeron COVID-19. Según fuentes internas del hospital:</w:t>
      </w:r>
    </w:p>
    <w:p w14:paraId="4B139847" w14:textId="0957E0C7" w:rsidR="006604AC" w:rsidRPr="009D593A" w:rsidRDefault="006604AC" w:rsidP="006604AC">
      <w:pPr>
        <w:spacing w:after="0" w:line="240" w:lineRule="auto"/>
        <w:ind w:left="1080" w:right="1140"/>
        <w:jc w:val="both"/>
        <w:rPr>
          <w:rFonts w:asciiTheme="minorHAnsi" w:hAnsiTheme="minorHAnsi" w:cstheme="minorHAnsi"/>
        </w:rPr>
      </w:pPr>
      <w:r w:rsidRPr="009D593A">
        <w:rPr>
          <w:rFonts w:asciiTheme="minorHAnsi" w:hAnsiTheme="minorHAnsi" w:cstheme="minorHAnsi"/>
        </w:rPr>
        <w:t>“</w:t>
      </w:r>
      <w:r w:rsidR="00C659B3" w:rsidRPr="009D593A">
        <w:rPr>
          <w:rFonts w:asciiTheme="minorHAnsi" w:hAnsiTheme="minorHAnsi" w:cstheme="minorHAnsi"/>
        </w:rPr>
        <w:t>H</w:t>
      </w:r>
      <w:r w:rsidRPr="009D593A">
        <w:rPr>
          <w:rFonts w:asciiTheme="minorHAnsi" w:hAnsiTheme="minorHAnsi" w:cstheme="minorHAnsi"/>
        </w:rPr>
        <w:t>ay un pabellón en cuarentena, el pabellón intensivo B (sic), con 60 pacientes, un enfermero graduado, dos auxiliares y uno de intendencia. Los dejaron hacinados dentro del mismo pabellón sin médico, los aislaron junto con 60 pacientes, siendo ellos personal con probable COVID-19 atendiendo a pacientes psiquiátricos. No los trasladaron a otra unidad; […] deberían haber sido evacuados también. Aparentemente lo están tratando como confidencial.”</w:t>
      </w:r>
      <w:r w:rsidRPr="009D593A">
        <w:rPr>
          <w:rFonts w:asciiTheme="minorHAnsi" w:hAnsiTheme="minorHAnsi" w:cstheme="minorHAnsi"/>
          <w:vertAlign w:val="superscript"/>
        </w:rPr>
        <w:footnoteReference w:id="32"/>
      </w:r>
    </w:p>
    <w:p w14:paraId="26E50A2A" w14:textId="77777777" w:rsidR="006604AC" w:rsidRPr="009D593A" w:rsidRDefault="006604AC" w:rsidP="006604AC">
      <w:pPr>
        <w:spacing w:after="0" w:line="240" w:lineRule="auto"/>
        <w:jc w:val="both"/>
        <w:rPr>
          <w:rFonts w:asciiTheme="minorHAnsi" w:hAnsiTheme="minorHAnsi" w:cstheme="minorHAnsi"/>
        </w:rPr>
      </w:pPr>
    </w:p>
    <w:p w14:paraId="783B2606" w14:textId="2DDDB79E" w:rsidR="006604AC" w:rsidRPr="009D593A" w:rsidRDefault="006604AC" w:rsidP="006604AC">
      <w:pPr>
        <w:spacing w:after="0" w:line="240" w:lineRule="auto"/>
        <w:jc w:val="both"/>
        <w:rPr>
          <w:rFonts w:asciiTheme="minorHAnsi" w:hAnsiTheme="minorHAnsi" w:cstheme="minorHAnsi"/>
        </w:rPr>
      </w:pPr>
      <w:r w:rsidRPr="009D593A">
        <w:rPr>
          <w:rFonts w:asciiTheme="minorHAnsi" w:hAnsiTheme="minorHAnsi" w:cstheme="minorHAnsi"/>
        </w:rPr>
        <w:t>Los pacientes que han sido aislados con personal que ha contraído COVID-19 están en un riesgo inmediato de contraer el virus y morir, ya que se encuentran en condiciones de hacinamiento y sin tratamiento médico adecuado. El 24 de abril un diputado anunció que “a 51 personas del Hospital de Salud Mental Federico Mora se les aplicó la prueba para detectar el coronavirus COVID-19”</w:t>
      </w:r>
      <w:r w:rsidRPr="009D593A">
        <w:rPr>
          <w:rFonts w:asciiTheme="minorHAnsi" w:hAnsiTheme="minorHAnsi" w:cstheme="minorHAnsi"/>
          <w:vertAlign w:val="superscript"/>
        </w:rPr>
        <w:footnoteReference w:id="33"/>
      </w:r>
      <w:r w:rsidRPr="009D593A">
        <w:rPr>
          <w:rFonts w:asciiTheme="minorHAnsi" w:hAnsiTheme="minorHAnsi" w:cstheme="minorHAnsi"/>
        </w:rPr>
        <w:t xml:space="preserve">. Se presume que esas personas son los pacientes y el personal que está aislado en el pabellón intensivo A. Sin embargo, fuentes </w:t>
      </w:r>
      <w:r w:rsidR="004811BE">
        <w:rPr>
          <w:rFonts w:asciiTheme="minorHAnsi" w:hAnsiTheme="minorHAnsi" w:cstheme="minorHAnsi"/>
        </w:rPr>
        <w:t>internas</w:t>
      </w:r>
      <w:r w:rsidRPr="009D593A">
        <w:rPr>
          <w:rFonts w:asciiTheme="minorHAnsi" w:hAnsiTheme="minorHAnsi" w:cstheme="minorHAnsi"/>
        </w:rPr>
        <w:t xml:space="preserve"> aseguran que “el director no tiene ningún plan para llevar a cabo algún tipo de medida para tratar a los casos confirmados de COVID-19”</w:t>
      </w:r>
      <w:r w:rsidR="0001045B" w:rsidRPr="009D593A">
        <w:rPr>
          <w:rStyle w:val="FootnoteReference"/>
          <w:rFonts w:asciiTheme="minorHAnsi" w:hAnsiTheme="minorHAnsi" w:cstheme="minorHAnsi"/>
        </w:rPr>
        <w:footnoteReference w:id="34"/>
      </w:r>
      <w:r w:rsidR="0001045B" w:rsidRPr="009D593A">
        <w:rPr>
          <w:rFonts w:asciiTheme="minorHAnsi" w:hAnsiTheme="minorHAnsi" w:cstheme="minorHAnsi"/>
        </w:rPr>
        <w:t>.</w:t>
      </w:r>
    </w:p>
    <w:p w14:paraId="604CA0AB" w14:textId="76BC9CA8" w:rsidR="006604AC" w:rsidRPr="009D593A" w:rsidRDefault="006604AC" w:rsidP="006604AC">
      <w:pPr>
        <w:spacing w:after="0" w:line="240" w:lineRule="auto"/>
        <w:jc w:val="both"/>
        <w:rPr>
          <w:rFonts w:asciiTheme="minorHAnsi" w:hAnsiTheme="minorHAnsi" w:cstheme="minorHAnsi"/>
        </w:rPr>
      </w:pPr>
    </w:p>
    <w:p w14:paraId="037590D1" w14:textId="0E910945" w:rsidR="00F55474" w:rsidRPr="009D593A" w:rsidRDefault="006604AC" w:rsidP="006604AC">
      <w:pPr>
        <w:spacing w:after="0" w:line="240" w:lineRule="auto"/>
        <w:jc w:val="both"/>
        <w:rPr>
          <w:rFonts w:asciiTheme="minorHAnsi" w:hAnsiTheme="minorHAnsi" w:cstheme="minorHAnsi"/>
        </w:rPr>
      </w:pPr>
      <w:r w:rsidRPr="009D593A">
        <w:rPr>
          <w:rFonts w:asciiTheme="minorHAnsi" w:hAnsiTheme="minorHAnsi" w:cstheme="minorHAnsi"/>
        </w:rPr>
        <w:t xml:space="preserve">El resto de pacientes en el “Federico Mora” también se encuentra en riesgo de contraer el virus. Aun cuando los pacientes del pabellón intensivo A están en teoría aislados, el “Federico Mora” no tiene la capacidad para completamente aislar a un pabellón del resto de la población. </w:t>
      </w:r>
      <w:r w:rsidR="003932D8" w:rsidRPr="009D593A">
        <w:rPr>
          <w:rFonts w:asciiTheme="minorHAnsi" w:hAnsiTheme="minorHAnsi" w:cstheme="minorHAnsi"/>
        </w:rPr>
        <w:t xml:space="preserve">DRI recibió información de </w:t>
      </w:r>
      <w:r w:rsidRPr="009D593A">
        <w:rPr>
          <w:rFonts w:asciiTheme="minorHAnsi" w:hAnsiTheme="minorHAnsi" w:cstheme="minorHAnsi"/>
        </w:rPr>
        <w:t xml:space="preserve">personal que fue enviado a sus casas por haber tenido contacto con los enfermeros contagiados de COVID-19. Este personal es de todas las áreas del hospital, incluyendo la trabajadora </w:t>
      </w:r>
      <w:r w:rsidRPr="009D593A">
        <w:rPr>
          <w:rFonts w:asciiTheme="minorHAnsi" w:hAnsiTheme="minorHAnsi" w:cstheme="minorHAnsi"/>
        </w:rPr>
        <w:lastRenderedPageBreak/>
        <w:t>social, quien tuvo contacto con el resto de los pacientes del hospital después de haber tenido contacto con los enfermeros contagiados</w:t>
      </w:r>
      <w:r w:rsidRPr="009D593A">
        <w:rPr>
          <w:rFonts w:asciiTheme="minorHAnsi" w:hAnsiTheme="minorHAnsi" w:cstheme="minorHAnsi"/>
          <w:vertAlign w:val="superscript"/>
        </w:rPr>
        <w:footnoteReference w:id="35"/>
      </w:r>
      <w:r w:rsidRPr="009D593A">
        <w:rPr>
          <w:rFonts w:asciiTheme="minorHAnsi" w:hAnsiTheme="minorHAnsi" w:cstheme="minorHAnsi"/>
        </w:rPr>
        <w:t>.</w:t>
      </w:r>
    </w:p>
    <w:p w14:paraId="3E338430" w14:textId="77777777" w:rsidR="00722AF1" w:rsidRPr="009D593A" w:rsidRDefault="00722AF1" w:rsidP="006604AC">
      <w:pPr>
        <w:spacing w:after="0" w:line="240" w:lineRule="auto"/>
        <w:jc w:val="both"/>
        <w:rPr>
          <w:rFonts w:asciiTheme="minorHAnsi" w:hAnsiTheme="minorHAnsi" w:cstheme="minorHAnsi"/>
        </w:rPr>
      </w:pPr>
    </w:p>
    <w:p w14:paraId="446BB286" w14:textId="6D1D5143" w:rsidR="006604AC" w:rsidRPr="009D593A" w:rsidRDefault="006604AC" w:rsidP="006604AC">
      <w:pPr>
        <w:spacing w:after="0" w:line="240" w:lineRule="auto"/>
        <w:jc w:val="both"/>
        <w:rPr>
          <w:rFonts w:asciiTheme="minorHAnsi" w:hAnsiTheme="minorHAnsi" w:cstheme="minorHAnsi"/>
        </w:rPr>
      </w:pPr>
      <w:r w:rsidRPr="009D593A">
        <w:rPr>
          <w:rFonts w:asciiTheme="minorHAnsi" w:hAnsiTheme="minorHAnsi" w:cstheme="minorHAnsi"/>
        </w:rPr>
        <w:t>El hospital además enfrenta una crisis por falta de personal. Como se ha informado a esta Comisión en repetidas ocasiones, en el hospital hay una falta de personal adecuado para atender a las y los pacientes</w:t>
      </w:r>
      <w:r w:rsidR="00C9379E" w:rsidRPr="009D593A">
        <w:rPr>
          <w:rFonts w:asciiTheme="minorHAnsi" w:hAnsiTheme="minorHAnsi" w:cstheme="minorHAnsi"/>
        </w:rPr>
        <w:t xml:space="preserve"> que viven en condiciones de hacinamiento</w:t>
      </w:r>
      <w:r w:rsidRPr="009D593A">
        <w:rPr>
          <w:rFonts w:asciiTheme="minorHAnsi" w:hAnsiTheme="minorHAnsi" w:cstheme="minorHAnsi"/>
        </w:rPr>
        <w:t>.</w:t>
      </w:r>
      <w:r w:rsidR="00C9379E" w:rsidRPr="009D593A">
        <w:rPr>
          <w:rFonts w:asciiTheme="minorHAnsi" w:hAnsiTheme="minorHAnsi" w:cstheme="minorHAnsi"/>
        </w:rPr>
        <w:t xml:space="preserve"> </w:t>
      </w:r>
      <w:r w:rsidRPr="009D593A">
        <w:rPr>
          <w:rFonts w:asciiTheme="minorHAnsi" w:hAnsiTheme="minorHAnsi" w:cstheme="minorHAnsi"/>
        </w:rPr>
        <w:t>En la visita de febrero 2020, el equipo de investigación de DRI observó que el número de pacientes en los pabellones var</w:t>
      </w:r>
      <w:r w:rsidR="00C9379E" w:rsidRPr="009D593A">
        <w:rPr>
          <w:rFonts w:asciiTheme="minorHAnsi" w:hAnsiTheme="minorHAnsi" w:cstheme="minorHAnsi"/>
        </w:rPr>
        <w:t>iaba</w:t>
      </w:r>
      <w:r w:rsidRPr="009D593A">
        <w:rPr>
          <w:rFonts w:asciiTheme="minorHAnsi" w:hAnsiTheme="minorHAnsi" w:cstheme="minorHAnsi"/>
        </w:rPr>
        <w:t xml:space="preserve"> de 29 personas en el pabellón psico-geriátrico hasta 59 personas en uno de los pabellones intensivos de hombres. DRI pudo notar que el personal en los pabellones era sólo de dos a cuatro personas </w:t>
      </w:r>
      <w:r w:rsidR="00C9379E" w:rsidRPr="009D593A">
        <w:rPr>
          <w:rFonts w:asciiTheme="minorHAnsi" w:hAnsiTheme="minorHAnsi" w:cstheme="minorHAnsi"/>
        </w:rPr>
        <w:t>“cuidando” a todos los pacientes</w:t>
      </w:r>
      <w:r w:rsidRPr="009D593A">
        <w:rPr>
          <w:rFonts w:asciiTheme="minorHAnsi" w:hAnsiTheme="minorHAnsi" w:cstheme="minorHAnsi"/>
        </w:rPr>
        <w:t xml:space="preserve">. Personal del hospital refirió </w:t>
      </w:r>
      <w:r w:rsidR="00192082" w:rsidRPr="009D593A">
        <w:rPr>
          <w:rFonts w:asciiTheme="minorHAnsi" w:hAnsiTheme="minorHAnsi" w:cstheme="minorHAnsi"/>
        </w:rPr>
        <w:t xml:space="preserve">en repetidas ocasiones </w:t>
      </w:r>
      <w:r w:rsidRPr="009D593A">
        <w:rPr>
          <w:rFonts w:asciiTheme="minorHAnsi" w:hAnsiTheme="minorHAnsi" w:cstheme="minorHAnsi"/>
        </w:rPr>
        <w:t>a DRI la importancia de contar con más personal médico, “ya que, los números actuales, no son suficientes para atender a todos los pacientes”</w:t>
      </w:r>
      <w:r w:rsidR="00D40E6C" w:rsidRPr="009D593A">
        <w:rPr>
          <w:rStyle w:val="FootnoteReference"/>
          <w:rFonts w:asciiTheme="minorHAnsi" w:hAnsiTheme="minorHAnsi" w:cstheme="minorHAnsi"/>
        </w:rPr>
        <w:footnoteReference w:id="36"/>
      </w:r>
      <w:r w:rsidRPr="009D593A">
        <w:rPr>
          <w:rFonts w:asciiTheme="minorHAnsi" w:hAnsiTheme="minorHAnsi" w:cstheme="minorHAnsi"/>
        </w:rPr>
        <w:t>.</w:t>
      </w:r>
    </w:p>
    <w:p w14:paraId="58C9D045" w14:textId="3B96D6D5" w:rsidR="006604AC" w:rsidRPr="009D593A" w:rsidRDefault="006604AC" w:rsidP="006604AC">
      <w:pPr>
        <w:spacing w:after="0" w:line="240" w:lineRule="auto"/>
        <w:jc w:val="both"/>
        <w:rPr>
          <w:rFonts w:asciiTheme="minorHAnsi" w:hAnsiTheme="minorHAnsi" w:cstheme="minorHAnsi"/>
        </w:rPr>
      </w:pPr>
    </w:p>
    <w:p w14:paraId="51C9C954" w14:textId="66B0BF67" w:rsidR="006604AC" w:rsidRPr="009D593A" w:rsidRDefault="006604AC" w:rsidP="006604AC">
      <w:pPr>
        <w:spacing w:after="0" w:line="240" w:lineRule="auto"/>
        <w:jc w:val="both"/>
        <w:rPr>
          <w:rFonts w:asciiTheme="minorHAnsi" w:hAnsiTheme="minorHAnsi" w:cstheme="minorHAnsi"/>
        </w:rPr>
      </w:pPr>
      <w:r w:rsidRPr="009D593A">
        <w:rPr>
          <w:rFonts w:asciiTheme="minorHAnsi" w:hAnsiTheme="minorHAnsi" w:cstheme="minorHAnsi"/>
        </w:rPr>
        <w:t>Según fuentes internas del hospital, hay 25 trabajadores y trabajadoras que han sido puestas en cuarentena y enviadas a su casa. Este número puede aumentar rápidamente, dejando a las y los pacientes encerrados sin personal que atienda sus necesidades más básicas. Fuentes</w:t>
      </w:r>
      <w:r w:rsidR="004811BE">
        <w:rPr>
          <w:rFonts w:asciiTheme="minorHAnsi" w:hAnsiTheme="minorHAnsi" w:cstheme="minorHAnsi"/>
        </w:rPr>
        <w:t xml:space="preserve"> internas</w:t>
      </w:r>
      <w:r w:rsidRPr="009D593A">
        <w:rPr>
          <w:rFonts w:asciiTheme="minorHAnsi" w:hAnsiTheme="minorHAnsi" w:cstheme="minorHAnsi"/>
        </w:rPr>
        <w:t xml:space="preserve"> han referido que ya hay una falta de personal que atienda a la población del “Federico Mora”, lo que puede motivar a prácticas aún más negligentes, y a mayores abusos</w:t>
      </w:r>
      <w:r w:rsidRPr="009D593A">
        <w:rPr>
          <w:rStyle w:val="FootnoteReference"/>
          <w:rFonts w:asciiTheme="minorHAnsi" w:hAnsiTheme="minorHAnsi" w:cstheme="minorHAnsi"/>
          <w:lang w:val="en-US"/>
        </w:rPr>
        <w:footnoteReference w:id="37"/>
      </w:r>
      <w:r w:rsidRPr="009D593A">
        <w:rPr>
          <w:rFonts w:asciiTheme="minorHAnsi" w:hAnsiTheme="minorHAnsi" w:cstheme="minorHAnsi"/>
        </w:rPr>
        <w:t>.</w:t>
      </w:r>
    </w:p>
    <w:p w14:paraId="24BC89BD" w14:textId="69E11B18" w:rsidR="006604AC" w:rsidRPr="009D593A" w:rsidRDefault="006604AC" w:rsidP="006604AC">
      <w:pPr>
        <w:spacing w:after="0" w:line="240" w:lineRule="auto"/>
        <w:jc w:val="both"/>
        <w:rPr>
          <w:rFonts w:asciiTheme="minorHAnsi" w:hAnsiTheme="minorHAnsi" w:cstheme="minorHAnsi"/>
        </w:rPr>
      </w:pPr>
    </w:p>
    <w:p w14:paraId="7662A03F" w14:textId="337B1645" w:rsidR="00D40E6C" w:rsidRPr="009D593A" w:rsidRDefault="00D40E6C" w:rsidP="00D40E6C">
      <w:pPr>
        <w:pStyle w:val="ListParagraph"/>
        <w:numPr>
          <w:ilvl w:val="0"/>
          <w:numId w:val="9"/>
        </w:numPr>
        <w:spacing w:line="240" w:lineRule="auto"/>
        <w:jc w:val="both"/>
        <w:rPr>
          <w:rFonts w:asciiTheme="minorHAnsi" w:hAnsiTheme="minorHAnsi" w:cstheme="minorHAnsi"/>
        </w:rPr>
      </w:pPr>
      <w:r w:rsidRPr="009D593A">
        <w:rPr>
          <w:rFonts w:asciiTheme="minorHAnsi" w:hAnsiTheme="minorHAnsi" w:cstheme="minorHAnsi"/>
          <w:lang w:val="es-ES"/>
        </w:rPr>
        <w:t xml:space="preserve">Nuevas transferencias al </w:t>
      </w:r>
      <w:r w:rsidR="00722AF1" w:rsidRPr="009D593A">
        <w:rPr>
          <w:rFonts w:asciiTheme="minorHAnsi" w:hAnsiTheme="minorHAnsi" w:cstheme="minorHAnsi"/>
          <w:lang w:val="es-ES"/>
        </w:rPr>
        <w:t>“</w:t>
      </w:r>
      <w:r w:rsidRPr="009D593A">
        <w:rPr>
          <w:rFonts w:asciiTheme="minorHAnsi" w:hAnsiTheme="minorHAnsi" w:cstheme="minorHAnsi"/>
          <w:lang w:val="es-ES"/>
        </w:rPr>
        <w:t>Federico Mora</w:t>
      </w:r>
      <w:r w:rsidR="00722AF1" w:rsidRPr="009D593A">
        <w:rPr>
          <w:rFonts w:asciiTheme="minorHAnsi" w:hAnsiTheme="minorHAnsi" w:cstheme="minorHAnsi"/>
          <w:lang w:val="es-ES"/>
        </w:rPr>
        <w:t>”</w:t>
      </w:r>
      <w:r w:rsidRPr="009D593A">
        <w:rPr>
          <w:rFonts w:asciiTheme="minorHAnsi" w:hAnsiTheme="minorHAnsi" w:cstheme="minorHAnsi"/>
          <w:lang w:val="es-ES"/>
        </w:rPr>
        <w:t xml:space="preserve"> de personas infectadas con COVID-19</w:t>
      </w:r>
    </w:p>
    <w:p w14:paraId="27C6590C" w14:textId="0D1047B5" w:rsidR="006604AC" w:rsidRPr="009D593A" w:rsidRDefault="006604AC" w:rsidP="006604AC">
      <w:pPr>
        <w:spacing w:after="0" w:line="240" w:lineRule="auto"/>
        <w:jc w:val="both"/>
        <w:rPr>
          <w:rFonts w:asciiTheme="minorHAnsi" w:hAnsiTheme="minorHAnsi" w:cstheme="minorHAnsi"/>
        </w:rPr>
      </w:pPr>
      <w:r w:rsidRPr="009D593A">
        <w:rPr>
          <w:rFonts w:asciiTheme="minorHAnsi" w:hAnsiTheme="minorHAnsi" w:cstheme="minorHAnsi"/>
        </w:rPr>
        <w:t xml:space="preserve">Otra de las grandes preocupaciones que han surgido a raíz de la pandemia COVID-19 son las inminentes transferencias de nuevos pacientes a las instalaciones del “Federico Mora”. El personal médico del </w:t>
      </w:r>
      <w:r w:rsidR="005D423B" w:rsidRPr="009D593A">
        <w:rPr>
          <w:rFonts w:asciiTheme="minorHAnsi" w:hAnsiTheme="minorHAnsi" w:cstheme="minorHAnsi"/>
        </w:rPr>
        <w:t>“</w:t>
      </w:r>
      <w:r w:rsidR="00722AF1" w:rsidRPr="009D593A">
        <w:rPr>
          <w:rFonts w:asciiTheme="minorHAnsi" w:hAnsiTheme="minorHAnsi" w:cstheme="minorHAnsi"/>
        </w:rPr>
        <w:t>Federico</w:t>
      </w:r>
      <w:r w:rsidR="005D423B" w:rsidRPr="009D593A">
        <w:rPr>
          <w:rFonts w:asciiTheme="minorHAnsi" w:hAnsiTheme="minorHAnsi" w:cstheme="minorHAnsi"/>
        </w:rPr>
        <w:t xml:space="preserve"> M</w:t>
      </w:r>
      <w:r w:rsidR="00722AF1" w:rsidRPr="009D593A">
        <w:rPr>
          <w:rFonts w:asciiTheme="minorHAnsi" w:hAnsiTheme="minorHAnsi" w:cstheme="minorHAnsi"/>
        </w:rPr>
        <w:t>ora</w:t>
      </w:r>
      <w:r w:rsidR="005D423B" w:rsidRPr="009D593A">
        <w:rPr>
          <w:rFonts w:asciiTheme="minorHAnsi" w:hAnsiTheme="minorHAnsi" w:cstheme="minorHAnsi"/>
        </w:rPr>
        <w:t>”</w:t>
      </w:r>
      <w:r w:rsidRPr="009D593A">
        <w:rPr>
          <w:rFonts w:asciiTheme="minorHAnsi" w:hAnsiTheme="minorHAnsi" w:cstheme="minorHAnsi"/>
        </w:rPr>
        <w:t xml:space="preserve"> ha expresado su profunda preocupación </w:t>
      </w:r>
      <w:r w:rsidR="004811BE">
        <w:rPr>
          <w:rFonts w:asciiTheme="minorHAnsi" w:hAnsiTheme="minorHAnsi" w:cstheme="minorHAnsi"/>
        </w:rPr>
        <w:t xml:space="preserve">sobre planes de </w:t>
      </w:r>
      <w:r w:rsidRPr="009D593A">
        <w:rPr>
          <w:rFonts w:asciiTheme="minorHAnsi" w:hAnsiTheme="minorHAnsi" w:cstheme="minorHAnsi"/>
        </w:rPr>
        <w:t xml:space="preserve">“el Ministerio de Salud </w:t>
      </w:r>
      <w:r w:rsidR="004811BE">
        <w:rPr>
          <w:rFonts w:asciiTheme="minorHAnsi" w:hAnsiTheme="minorHAnsi" w:cstheme="minorHAnsi"/>
        </w:rPr>
        <w:t xml:space="preserve">[de trasladar] </w:t>
      </w:r>
      <w:r w:rsidRPr="009D593A">
        <w:rPr>
          <w:rFonts w:asciiTheme="minorHAnsi" w:hAnsiTheme="minorHAnsi" w:cstheme="minorHAnsi"/>
        </w:rPr>
        <w:t xml:space="preserve">a cuatro pacientes con COVID-19 con problemas psiquiátricos a ese hospital, ya que no cuentan con las condiciones para atenderlos. Estos cuatro casos son migrantes </w:t>
      </w:r>
      <w:r w:rsidR="004811BE">
        <w:rPr>
          <w:rFonts w:asciiTheme="minorHAnsi" w:hAnsiTheme="minorHAnsi" w:cstheme="minorHAnsi"/>
        </w:rPr>
        <w:t xml:space="preserve">deportados </w:t>
      </w:r>
      <w:r w:rsidR="00C12492" w:rsidRPr="009D593A">
        <w:rPr>
          <w:rFonts w:asciiTheme="minorHAnsi" w:hAnsiTheme="minorHAnsi" w:cstheme="minorHAnsi"/>
        </w:rPr>
        <w:t>[</w:t>
      </w:r>
      <w:r w:rsidR="008523A2" w:rsidRPr="009D593A">
        <w:rPr>
          <w:rFonts w:asciiTheme="minorHAnsi" w:hAnsiTheme="minorHAnsi" w:cstheme="minorHAnsi"/>
        </w:rPr>
        <w:t>de Estados Unidos</w:t>
      </w:r>
      <w:r w:rsidR="00C12492" w:rsidRPr="009D593A">
        <w:rPr>
          <w:rFonts w:asciiTheme="minorHAnsi" w:hAnsiTheme="minorHAnsi" w:cstheme="minorHAnsi"/>
        </w:rPr>
        <w:t>]</w:t>
      </w:r>
      <w:r w:rsidR="008523A2" w:rsidRPr="009D593A">
        <w:rPr>
          <w:rFonts w:asciiTheme="minorHAnsi" w:hAnsiTheme="minorHAnsi" w:cstheme="minorHAnsi"/>
        </w:rPr>
        <w:t xml:space="preserve"> </w:t>
      </w:r>
      <w:r w:rsidRPr="009D593A">
        <w:rPr>
          <w:rFonts w:asciiTheme="minorHAnsi" w:hAnsiTheme="minorHAnsi" w:cstheme="minorHAnsi"/>
        </w:rPr>
        <w:t>que se encuentran en el albergue que se habilitó en el polideportivo de la zona 13, Ramiro de León Carpio”</w:t>
      </w:r>
      <w:r w:rsidRPr="009D593A">
        <w:rPr>
          <w:rStyle w:val="FootnoteReference"/>
          <w:rFonts w:asciiTheme="minorHAnsi" w:hAnsiTheme="minorHAnsi" w:cstheme="minorHAnsi"/>
        </w:rPr>
        <w:footnoteReference w:id="38"/>
      </w:r>
      <w:r w:rsidRPr="009D593A">
        <w:rPr>
          <w:rFonts w:asciiTheme="minorHAnsi" w:hAnsiTheme="minorHAnsi" w:cstheme="minorHAnsi"/>
        </w:rPr>
        <w:t xml:space="preserve">. Asimismo, </w:t>
      </w:r>
      <w:r w:rsidR="00B25099" w:rsidRPr="009D593A">
        <w:rPr>
          <w:rFonts w:asciiTheme="minorHAnsi" w:hAnsiTheme="minorHAnsi" w:cstheme="minorHAnsi"/>
        </w:rPr>
        <w:t>el personal también teme</w:t>
      </w:r>
      <w:r w:rsidRPr="009D593A">
        <w:rPr>
          <w:rFonts w:asciiTheme="minorHAnsi" w:hAnsiTheme="minorHAnsi" w:cstheme="minorHAnsi"/>
        </w:rPr>
        <w:t xml:space="preserve"> “el traslado de privados de libertad con problemas psiquiátricos, que puedan ser portadores del nuevo coronavirus”</w:t>
      </w:r>
      <w:r w:rsidRPr="009D593A">
        <w:rPr>
          <w:rStyle w:val="FootnoteReference"/>
          <w:rFonts w:asciiTheme="minorHAnsi" w:hAnsiTheme="minorHAnsi" w:cstheme="minorHAnsi"/>
        </w:rPr>
        <w:footnoteReference w:id="39"/>
      </w:r>
      <w:r w:rsidRPr="009D593A">
        <w:rPr>
          <w:rFonts w:asciiTheme="minorHAnsi" w:hAnsiTheme="minorHAnsi" w:cstheme="minorHAnsi"/>
        </w:rPr>
        <w:t xml:space="preserve">. </w:t>
      </w:r>
    </w:p>
    <w:p w14:paraId="7BD969F1" w14:textId="48BEDCEF" w:rsidR="006604AC" w:rsidRPr="009D593A" w:rsidRDefault="006604AC" w:rsidP="006604AC">
      <w:pPr>
        <w:spacing w:after="0" w:line="240" w:lineRule="auto"/>
        <w:jc w:val="both"/>
        <w:rPr>
          <w:rFonts w:asciiTheme="minorHAnsi" w:hAnsiTheme="minorHAnsi" w:cstheme="minorHAnsi"/>
        </w:rPr>
      </w:pPr>
    </w:p>
    <w:p w14:paraId="3E9A97EE" w14:textId="75B8D386" w:rsidR="00D46696" w:rsidRPr="009D593A" w:rsidRDefault="004E3E68" w:rsidP="004E2F37">
      <w:pPr>
        <w:pStyle w:val="ListParagraph"/>
        <w:numPr>
          <w:ilvl w:val="0"/>
          <w:numId w:val="9"/>
        </w:numPr>
        <w:spacing w:after="0" w:line="240" w:lineRule="auto"/>
        <w:jc w:val="both"/>
        <w:rPr>
          <w:rFonts w:asciiTheme="minorHAnsi" w:hAnsiTheme="minorHAnsi" w:cstheme="minorHAnsi"/>
        </w:rPr>
      </w:pPr>
      <w:r w:rsidRPr="009D593A">
        <w:rPr>
          <w:rFonts w:asciiTheme="minorHAnsi" w:hAnsiTheme="minorHAnsi" w:cstheme="minorHAnsi"/>
        </w:rPr>
        <w:t>Incumplimiento en la creación de</w:t>
      </w:r>
      <w:r w:rsidR="00D46696" w:rsidRPr="009D593A">
        <w:rPr>
          <w:rFonts w:asciiTheme="minorHAnsi" w:hAnsiTheme="minorHAnsi" w:cstheme="minorHAnsi"/>
        </w:rPr>
        <w:t xml:space="preserve"> servicios comunitarios para atender a las y los pacientes del Federico Mora</w:t>
      </w:r>
    </w:p>
    <w:p w14:paraId="1AAA2827" w14:textId="0CD31FC9" w:rsidR="00D46696" w:rsidRPr="009D593A" w:rsidRDefault="00D46696" w:rsidP="00D46696">
      <w:pPr>
        <w:spacing w:after="0" w:line="240" w:lineRule="auto"/>
        <w:jc w:val="both"/>
        <w:rPr>
          <w:rFonts w:asciiTheme="minorHAnsi" w:hAnsiTheme="minorHAnsi" w:cstheme="minorHAnsi"/>
        </w:rPr>
      </w:pPr>
    </w:p>
    <w:p w14:paraId="793C8949" w14:textId="76769911" w:rsidR="00530D11" w:rsidRPr="009D593A" w:rsidRDefault="00530D11" w:rsidP="00530D11">
      <w:pPr>
        <w:spacing w:line="240" w:lineRule="auto"/>
        <w:jc w:val="both"/>
        <w:rPr>
          <w:rFonts w:asciiTheme="minorHAnsi" w:hAnsiTheme="minorHAnsi" w:cstheme="minorHAnsi"/>
        </w:rPr>
      </w:pPr>
      <w:r w:rsidRPr="009D593A">
        <w:rPr>
          <w:rFonts w:asciiTheme="minorHAnsi" w:hAnsiTheme="minorHAnsi" w:cstheme="minorHAnsi"/>
          <w:lang w:val="es-ES"/>
        </w:rPr>
        <w:t>En medio de la pandemia, l</w:t>
      </w:r>
      <w:r w:rsidR="00422496" w:rsidRPr="009D593A">
        <w:rPr>
          <w:rFonts w:asciiTheme="minorHAnsi" w:hAnsiTheme="minorHAnsi" w:cstheme="minorHAnsi"/>
          <w:lang w:val="es-ES"/>
        </w:rPr>
        <w:t>a</w:t>
      </w:r>
      <w:r w:rsidRPr="009D593A">
        <w:rPr>
          <w:rFonts w:asciiTheme="minorHAnsi" w:hAnsiTheme="minorHAnsi" w:cstheme="minorHAnsi"/>
          <w:lang w:val="es-ES"/>
        </w:rPr>
        <w:t xml:space="preserve"> Alt</w:t>
      </w:r>
      <w:r w:rsidR="00422496" w:rsidRPr="009D593A">
        <w:rPr>
          <w:rFonts w:asciiTheme="minorHAnsi" w:hAnsiTheme="minorHAnsi" w:cstheme="minorHAnsi"/>
          <w:lang w:val="es-ES"/>
        </w:rPr>
        <w:t>a</w:t>
      </w:r>
      <w:r w:rsidRPr="009D593A">
        <w:rPr>
          <w:rFonts w:asciiTheme="minorHAnsi" w:hAnsiTheme="minorHAnsi" w:cstheme="minorHAnsi"/>
          <w:lang w:val="es-ES"/>
        </w:rPr>
        <w:t xml:space="preserve"> Comisionad</w:t>
      </w:r>
      <w:r w:rsidR="00422496" w:rsidRPr="009D593A">
        <w:rPr>
          <w:rFonts w:asciiTheme="minorHAnsi" w:hAnsiTheme="minorHAnsi" w:cstheme="minorHAnsi"/>
          <w:lang w:val="es-ES"/>
        </w:rPr>
        <w:t>a</w:t>
      </w:r>
      <w:r w:rsidRPr="009D593A">
        <w:rPr>
          <w:rFonts w:asciiTheme="minorHAnsi" w:hAnsiTheme="minorHAnsi" w:cstheme="minorHAnsi"/>
          <w:lang w:val="es-ES"/>
        </w:rPr>
        <w:t xml:space="preserve"> de las Naciones Unidas para los Derechos Humanos</w:t>
      </w:r>
      <w:r w:rsidR="00422496" w:rsidRPr="009D593A">
        <w:rPr>
          <w:rFonts w:asciiTheme="minorHAnsi" w:hAnsiTheme="minorHAnsi" w:cstheme="minorHAnsi"/>
          <w:lang w:val="es-ES"/>
        </w:rPr>
        <w:t xml:space="preserve">, </w:t>
      </w:r>
      <w:r w:rsidR="00422496" w:rsidRPr="009D593A">
        <w:rPr>
          <w:rFonts w:asciiTheme="minorHAnsi" w:hAnsiTheme="minorHAnsi" w:cstheme="minorHAnsi"/>
        </w:rPr>
        <w:t>Michelle Bachelet,</w:t>
      </w:r>
      <w:r w:rsidRPr="009D593A">
        <w:rPr>
          <w:rFonts w:asciiTheme="minorHAnsi" w:hAnsiTheme="minorHAnsi" w:cstheme="minorHAnsi"/>
          <w:lang w:val="es-ES"/>
        </w:rPr>
        <w:t xml:space="preserve"> ha determinado que en el caso de las personas con discapacidad que viven en instituciones, la primera acción que los Estados deben llevar a cabo es “[d]ar de alta y liberar a las personas con discapacidad de las instituciones y garantizar rápidamente la prestación de apoyo en la comunidad a través de redes familiares y/o redes informales</w:t>
      </w:r>
      <w:r w:rsidRPr="009D593A">
        <w:rPr>
          <w:rFonts w:asciiTheme="minorHAnsi" w:hAnsiTheme="minorHAnsi" w:cstheme="minorHAnsi"/>
        </w:rPr>
        <w:t>”</w:t>
      </w:r>
      <w:r w:rsidRPr="009D593A">
        <w:rPr>
          <w:rStyle w:val="FootnoteReference"/>
          <w:rFonts w:asciiTheme="minorHAnsi" w:hAnsiTheme="minorHAnsi" w:cstheme="minorHAnsi"/>
        </w:rPr>
        <w:footnoteReference w:id="40"/>
      </w:r>
      <w:r w:rsidRPr="009D593A">
        <w:rPr>
          <w:rFonts w:asciiTheme="minorHAnsi" w:hAnsiTheme="minorHAnsi" w:cstheme="minorHAnsi"/>
        </w:rPr>
        <w:t>.</w:t>
      </w:r>
    </w:p>
    <w:p w14:paraId="44FA30BC" w14:textId="77777777" w:rsidR="00530D11" w:rsidRPr="009D593A" w:rsidRDefault="00530D11" w:rsidP="00530D11">
      <w:pPr>
        <w:spacing w:after="0" w:line="240" w:lineRule="auto"/>
        <w:jc w:val="both"/>
        <w:rPr>
          <w:rFonts w:asciiTheme="minorHAnsi" w:hAnsiTheme="minorHAnsi" w:cstheme="minorHAnsi"/>
        </w:rPr>
      </w:pPr>
      <w:r w:rsidRPr="009D593A">
        <w:rPr>
          <w:rFonts w:asciiTheme="minorHAnsi" w:hAnsiTheme="minorHAnsi" w:cstheme="minorHAnsi"/>
        </w:rPr>
        <w:t>En su Comunicado de Prensa 71/20, esta Honorable Comisión estableció que:</w:t>
      </w:r>
    </w:p>
    <w:p w14:paraId="1A771DAA" w14:textId="080D3B71" w:rsidR="00D46696" w:rsidRPr="009D593A" w:rsidRDefault="00D46696" w:rsidP="00D46696">
      <w:pPr>
        <w:spacing w:after="0" w:line="240" w:lineRule="auto"/>
        <w:jc w:val="both"/>
        <w:rPr>
          <w:rFonts w:asciiTheme="minorHAnsi" w:hAnsiTheme="minorHAnsi" w:cstheme="minorHAnsi"/>
        </w:rPr>
      </w:pPr>
    </w:p>
    <w:p w14:paraId="04FE7CAC" w14:textId="77777777" w:rsidR="00530D11" w:rsidRPr="009D593A" w:rsidRDefault="00530D11" w:rsidP="00530D11">
      <w:pPr>
        <w:spacing w:after="0" w:line="240" w:lineRule="auto"/>
        <w:ind w:left="1080" w:right="1140"/>
        <w:jc w:val="both"/>
        <w:rPr>
          <w:rFonts w:asciiTheme="minorHAnsi" w:hAnsiTheme="minorHAnsi" w:cstheme="minorHAnsi"/>
        </w:rPr>
      </w:pPr>
      <w:r w:rsidRPr="009D593A">
        <w:rPr>
          <w:rFonts w:asciiTheme="minorHAnsi" w:hAnsiTheme="minorHAnsi" w:cstheme="minorHAnsi"/>
        </w:rPr>
        <w:lastRenderedPageBreak/>
        <w:t>“En relación con las personas con discapacidad internadas en instituciones psiquiátricas y centros de asistencia social, los Estados deben intensificar esfuerzos a fin de desarrollar la creación y establecimiento de servicios comunitarios que satisfagan las necesidades de los pacientes en la comunidad, y con ello, se evite la institucionalización de estas personas”</w:t>
      </w:r>
      <w:r w:rsidRPr="009D593A">
        <w:rPr>
          <w:rFonts w:asciiTheme="minorHAnsi" w:hAnsiTheme="minorHAnsi" w:cstheme="minorHAnsi"/>
          <w:vertAlign w:val="superscript"/>
        </w:rPr>
        <w:footnoteReference w:id="41"/>
      </w:r>
      <w:r w:rsidRPr="009D593A">
        <w:rPr>
          <w:rFonts w:asciiTheme="minorHAnsi" w:hAnsiTheme="minorHAnsi" w:cstheme="minorHAnsi"/>
        </w:rPr>
        <w:t>.</w:t>
      </w:r>
    </w:p>
    <w:p w14:paraId="6B7C00ED" w14:textId="77777777" w:rsidR="008A3C07" w:rsidRPr="009D593A" w:rsidRDefault="008A3C07" w:rsidP="00530D11">
      <w:pPr>
        <w:spacing w:after="0" w:line="240" w:lineRule="auto"/>
        <w:jc w:val="both"/>
        <w:rPr>
          <w:rFonts w:asciiTheme="minorHAnsi" w:hAnsiTheme="minorHAnsi" w:cstheme="minorHAnsi"/>
        </w:rPr>
      </w:pPr>
    </w:p>
    <w:p w14:paraId="06251498" w14:textId="0C9FDA07" w:rsidR="00530D11" w:rsidRPr="009D593A" w:rsidRDefault="00530D11" w:rsidP="008A3C07">
      <w:pPr>
        <w:spacing w:after="0" w:line="240" w:lineRule="auto"/>
        <w:jc w:val="both"/>
        <w:rPr>
          <w:rFonts w:asciiTheme="minorHAnsi" w:hAnsiTheme="minorHAnsi" w:cstheme="minorHAnsi"/>
        </w:rPr>
      </w:pPr>
      <w:r w:rsidRPr="009D593A">
        <w:rPr>
          <w:rFonts w:asciiTheme="minorHAnsi" w:hAnsiTheme="minorHAnsi" w:cstheme="minorHAnsi"/>
        </w:rPr>
        <w:t>Específicamente en el caso del “Federico Mora” en Guatemala, la Honorable CIDH observó que, para garantizar plenamente la vida e integridad de las y los pacientes detenidos en esta institución, las medidas que el Estado tome deberían estar orientadas a la creación de servicios en la comunidad:</w:t>
      </w:r>
    </w:p>
    <w:p w14:paraId="51415FCD" w14:textId="540513F6" w:rsidR="00530D11" w:rsidRPr="009D593A" w:rsidRDefault="00530D11" w:rsidP="00530D11">
      <w:pPr>
        <w:spacing w:after="0" w:line="240" w:lineRule="auto"/>
        <w:jc w:val="both"/>
        <w:rPr>
          <w:rFonts w:asciiTheme="minorHAnsi" w:hAnsiTheme="minorHAnsi" w:cstheme="minorHAnsi"/>
        </w:rPr>
      </w:pPr>
    </w:p>
    <w:p w14:paraId="2658E218" w14:textId="4BECF0D7" w:rsidR="00530D11" w:rsidRPr="009D593A" w:rsidRDefault="00530D11" w:rsidP="008A3C07">
      <w:pPr>
        <w:spacing w:after="0" w:line="240" w:lineRule="auto"/>
        <w:ind w:left="1080" w:right="1140"/>
        <w:jc w:val="both"/>
        <w:rPr>
          <w:rFonts w:asciiTheme="minorHAnsi" w:hAnsiTheme="minorHAnsi" w:cstheme="minorHAnsi"/>
        </w:rPr>
      </w:pPr>
      <w:r w:rsidRPr="009D593A">
        <w:rPr>
          <w:rFonts w:asciiTheme="minorHAnsi" w:hAnsiTheme="minorHAnsi" w:cstheme="minorHAnsi"/>
        </w:rPr>
        <w:t>“La CIDH valora la realización de acciones dirigidas a mejorar las condiciones en que se encuentran los pacientes del Hospital Federico Mora; sin embargo, no considera que las mismas resulten suficientes para garantizar plenamente su vida e integridad. En particular, la CIDH lamenta que las medidas adoptadas no se han centrado en la creación de servicios comunitarios, y que, a pesar del notable aumento del presupuesto del hospital, estos recursos no hayan sido utilizados en la creación de alternativas en la comunidad”</w:t>
      </w:r>
      <w:r w:rsidRPr="009D593A">
        <w:rPr>
          <w:rFonts w:asciiTheme="minorHAnsi" w:hAnsiTheme="minorHAnsi" w:cstheme="minorHAnsi"/>
          <w:vertAlign w:val="superscript"/>
        </w:rPr>
        <w:footnoteReference w:id="42"/>
      </w:r>
      <w:r w:rsidRPr="009D593A">
        <w:rPr>
          <w:rFonts w:asciiTheme="minorHAnsi" w:hAnsiTheme="minorHAnsi" w:cstheme="minorHAnsi"/>
        </w:rPr>
        <w:t>.</w:t>
      </w:r>
    </w:p>
    <w:p w14:paraId="5BE0417E" w14:textId="77777777" w:rsidR="008A3C07" w:rsidRPr="009D593A" w:rsidRDefault="008A3C07" w:rsidP="008A3C07">
      <w:pPr>
        <w:spacing w:after="0" w:line="240" w:lineRule="auto"/>
        <w:ind w:right="1140"/>
        <w:jc w:val="both"/>
        <w:rPr>
          <w:rFonts w:asciiTheme="minorHAnsi" w:hAnsiTheme="minorHAnsi" w:cstheme="minorHAnsi"/>
        </w:rPr>
      </w:pPr>
    </w:p>
    <w:p w14:paraId="20CEF159" w14:textId="06462AF4" w:rsidR="00530D11" w:rsidRPr="009D593A" w:rsidRDefault="00530D11" w:rsidP="00530D11">
      <w:pPr>
        <w:spacing w:line="240" w:lineRule="auto"/>
        <w:jc w:val="both"/>
        <w:rPr>
          <w:rFonts w:asciiTheme="minorHAnsi" w:hAnsiTheme="minorHAnsi" w:cstheme="minorHAnsi"/>
        </w:rPr>
      </w:pPr>
      <w:r w:rsidRPr="009D593A">
        <w:rPr>
          <w:rFonts w:asciiTheme="minorHAnsi" w:hAnsiTheme="minorHAnsi" w:cstheme="minorHAnsi"/>
        </w:rPr>
        <w:t>La CIDH recalcó que “esta situación es particularmente preocupante considerando que la mayoría de ellos, continúan en la institución debido a que no cuentan con apoyos en la comunidad”</w:t>
      </w:r>
      <w:r w:rsidRPr="009D593A">
        <w:rPr>
          <w:rFonts w:asciiTheme="minorHAnsi" w:hAnsiTheme="minorHAnsi" w:cstheme="minorHAnsi"/>
          <w:vertAlign w:val="superscript"/>
        </w:rPr>
        <w:footnoteReference w:id="43"/>
      </w:r>
      <w:r w:rsidRPr="009D593A">
        <w:rPr>
          <w:rFonts w:asciiTheme="minorHAnsi" w:hAnsiTheme="minorHAnsi" w:cstheme="minorHAnsi"/>
        </w:rPr>
        <w:t xml:space="preserve">. </w:t>
      </w:r>
      <w:r w:rsidR="00A74611" w:rsidRPr="009D593A">
        <w:rPr>
          <w:rFonts w:asciiTheme="minorHAnsi" w:hAnsiTheme="minorHAnsi" w:cstheme="minorHAnsi"/>
        </w:rPr>
        <w:t>En este informe, la Comisión destacó que “según la evaluación realizada en 2013 por personal psiquiátrico independiente y personal médico del propio hospital, aproximadamente el 75% de los pacientes (…) no requería permanecer en la institución “por razones psiquiátricas”, y podía integrarse “fácilmente” a la comunidad teniendo servicios de tipo ambulatorio [</w:t>
      </w:r>
      <w:r w:rsidR="007467EB" w:rsidRPr="009D593A">
        <w:rPr>
          <w:rFonts w:asciiTheme="minorHAnsi" w:hAnsiTheme="minorHAnsi" w:cstheme="minorHAnsi"/>
        </w:rPr>
        <w:t xml:space="preserve">disponibles </w:t>
      </w:r>
      <w:r w:rsidR="00A74611" w:rsidRPr="009D593A">
        <w:rPr>
          <w:rFonts w:asciiTheme="minorHAnsi" w:hAnsiTheme="minorHAnsi" w:cstheme="minorHAnsi"/>
        </w:rPr>
        <w:t>para ellos]”</w:t>
      </w:r>
      <w:r w:rsidR="00A74611" w:rsidRPr="009D593A">
        <w:rPr>
          <w:rStyle w:val="FootnoteReference"/>
          <w:rFonts w:asciiTheme="minorHAnsi" w:hAnsiTheme="minorHAnsi" w:cstheme="minorHAnsi"/>
        </w:rPr>
        <w:footnoteReference w:id="44"/>
      </w:r>
      <w:r w:rsidR="00A74611" w:rsidRPr="009D593A">
        <w:rPr>
          <w:rFonts w:asciiTheme="minorHAnsi" w:hAnsiTheme="minorHAnsi" w:cstheme="minorHAnsi"/>
        </w:rPr>
        <w:t>.</w:t>
      </w:r>
      <w:r w:rsidR="00F7708B" w:rsidRPr="009D593A">
        <w:rPr>
          <w:rFonts w:asciiTheme="minorHAnsi" w:hAnsiTheme="minorHAnsi" w:cstheme="minorHAnsi"/>
        </w:rPr>
        <w:t xml:space="preserve"> </w:t>
      </w:r>
      <w:r w:rsidR="00F7708B" w:rsidRPr="009D593A">
        <w:rPr>
          <w:rFonts w:asciiTheme="minorHAnsi" w:hAnsiTheme="minorHAnsi" w:cstheme="minorHAnsi"/>
          <w:lang w:val="es-ES"/>
        </w:rPr>
        <w:t>Estos servicios ambulatorios consisten en apoyos básicos que incluyen vivienda, alimentación y tratamiento médico.</w:t>
      </w:r>
    </w:p>
    <w:p w14:paraId="724EF92B" w14:textId="0D8D76E1" w:rsidR="00530D11" w:rsidRPr="009D593A" w:rsidRDefault="00530D11" w:rsidP="00530D11">
      <w:pPr>
        <w:spacing w:after="0" w:line="240" w:lineRule="auto"/>
        <w:jc w:val="both"/>
        <w:rPr>
          <w:rFonts w:asciiTheme="minorHAnsi" w:hAnsiTheme="minorHAnsi" w:cstheme="minorHAnsi"/>
        </w:rPr>
      </w:pPr>
      <w:r w:rsidRPr="009D593A">
        <w:rPr>
          <w:rFonts w:asciiTheme="minorHAnsi" w:hAnsiTheme="minorHAnsi" w:cstheme="minorHAnsi"/>
        </w:rPr>
        <w:t xml:space="preserve">Casi tres años después de que la CIDH determinara que es necesario que el Estado cree servicios en la comunidad para que las personas institucionalizadas puedan ser reintegradas a la comunidad, el Estado no ha tomado las acciones necesarias. </w:t>
      </w:r>
      <w:r w:rsidRPr="009D593A">
        <w:rPr>
          <w:rFonts w:asciiTheme="minorHAnsi" w:hAnsiTheme="minorHAnsi" w:cstheme="minorHAnsi"/>
          <w:b/>
          <w:bCs/>
        </w:rPr>
        <w:t>El resultado es que, en medio de esta crisis sanitaria, hay cientos de personas que se encuentran detenidas por el simple hecho de tener una discapacidad y no tener a dónde ir debido a la falta de alternativas en la comunidad. Este hecho que en sí mismo es violatorio de sus derechos humanos y pone en riesgo su integridad personal, en este momento también representa un riesgo mortal. Al estar detenid</w:t>
      </w:r>
      <w:r w:rsidR="00B64410" w:rsidRPr="009D593A">
        <w:rPr>
          <w:rFonts w:asciiTheme="minorHAnsi" w:hAnsiTheme="minorHAnsi" w:cstheme="minorHAnsi"/>
          <w:b/>
          <w:bCs/>
        </w:rPr>
        <w:t>a</w:t>
      </w:r>
      <w:r w:rsidRPr="009D593A">
        <w:rPr>
          <w:rFonts w:asciiTheme="minorHAnsi" w:hAnsiTheme="minorHAnsi" w:cstheme="minorHAnsi"/>
          <w:b/>
          <w:bCs/>
        </w:rPr>
        <w:t xml:space="preserve"> con pacientes y personal que ha contraído el COVID-19, toda la población del </w:t>
      </w:r>
      <w:r w:rsidR="005D423B" w:rsidRPr="009D593A">
        <w:rPr>
          <w:rFonts w:asciiTheme="minorHAnsi" w:hAnsiTheme="minorHAnsi" w:cstheme="minorHAnsi"/>
          <w:b/>
          <w:bCs/>
        </w:rPr>
        <w:t>“</w:t>
      </w:r>
      <w:r w:rsidR="00EF6AF2" w:rsidRPr="009D593A">
        <w:rPr>
          <w:rFonts w:asciiTheme="minorHAnsi" w:hAnsiTheme="minorHAnsi" w:cstheme="minorHAnsi"/>
          <w:b/>
          <w:bCs/>
        </w:rPr>
        <w:t>Federico</w:t>
      </w:r>
      <w:r w:rsidR="005D423B" w:rsidRPr="009D593A">
        <w:rPr>
          <w:rFonts w:asciiTheme="minorHAnsi" w:hAnsiTheme="minorHAnsi" w:cstheme="minorHAnsi"/>
          <w:b/>
          <w:bCs/>
        </w:rPr>
        <w:t xml:space="preserve"> M</w:t>
      </w:r>
      <w:r w:rsidR="00EF6AF2" w:rsidRPr="009D593A">
        <w:rPr>
          <w:rFonts w:asciiTheme="minorHAnsi" w:hAnsiTheme="minorHAnsi" w:cstheme="minorHAnsi"/>
          <w:b/>
          <w:bCs/>
        </w:rPr>
        <w:t>ora</w:t>
      </w:r>
      <w:r w:rsidR="005D423B" w:rsidRPr="009D593A">
        <w:rPr>
          <w:rFonts w:asciiTheme="minorHAnsi" w:hAnsiTheme="minorHAnsi" w:cstheme="minorHAnsi"/>
          <w:b/>
          <w:bCs/>
        </w:rPr>
        <w:t>”</w:t>
      </w:r>
      <w:r w:rsidRPr="009D593A">
        <w:rPr>
          <w:rFonts w:asciiTheme="minorHAnsi" w:hAnsiTheme="minorHAnsi" w:cstheme="minorHAnsi"/>
          <w:b/>
          <w:bCs/>
        </w:rPr>
        <w:t xml:space="preserve"> está en riesgo de adquirir este virus y morir.</w:t>
      </w:r>
    </w:p>
    <w:p w14:paraId="25599491" w14:textId="77777777" w:rsidR="00530D11" w:rsidRPr="009D593A" w:rsidRDefault="00530D11" w:rsidP="00530D11">
      <w:pPr>
        <w:spacing w:after="0" w:line="240" w:lineRule="auto"/>
        <w:jc w:val="both"/>
        <w:rPr>
          <w:rFonts w:asciiTheme="minorHAnsi" w:hAnsiTheme="minorHAnsi" w:cstheme="minorHAnsi"/>
        </w:rPr>
      </w:pPr>
    </w:p>
    <w:p w14:paraId="533DAACF" w14:textId="2DCEBB4D" w:rsidR="00530D11" w:rsidRDefault="00530D11" w:rsidP="00530D11">
      <w:pPr>
        <w:spacing w:after="0" w:line="240" w:lineRule="auto"/>
        <w:jc w:val="both"/>
        <w:rPr>
          <w:rFonts w:asciiTheme="minorHAnsi" w:hAnsiTheme="minorHAnsi" w:cstheme="minorHAnsi"/>
        </w:rPr>
      </w:pPr>
      <w:r w:rsidRPr="009D593A">
        <w:rPr>
          <w:rFonts w:asciiTheme="minorHAnsi" w:hAnsiTheme="minorHAnsi" w:cstheme="minorHAnsi"/>
        </w:rPr>
        <w:t>No es suficiente que el Estado aísle a los pacientes y al personal contagiado</w:t>
      </w:r>
      <w:r w:rsidR="00E43243" w:rsidRPr="009D593A">
        <w:rPr>
          <w:rFonts w:asciiTheme="minorHAnsi" w:hAnsiTheme="minorHAnsi" w:cstheme="minorHAnsi"/>
        </w:rPr>
        <w:t>.</w:t>
      </w:r>
      <w:r w:rsidRPr="009D593A">
        <w:rPr>
          <w:rFonts w:asciiTheme="minorHAnsi" w:hAnsiTheme="minorHAnsi" w:cstheme="minorHAnsi"/>
        </w:rPr>
        <w:t xml:space="preserve"> </w:t>
      </w:r>
      <w:r w:rsidR="00E43243" w:rsidRPr="009D593A">
        <w:rPr>
          <w:rFonts w:asciiTheme="minorHAnsi" w:hAnsiTheme="minorHAnsi" w:cstheme="minorHAnsi"/>
        </w:rPr>
        <w:t>Para proteger la vida de las y los pacientes del “Federico Mora”, el Estado debe establecer</w:t>
      </w:r>
      <w:r w:rsidRPr="009D593A">
        <w:rPr>
          <w:rFonts w:asciiTheme="minorHAnsi" w:hAnsiTheme="minorHAnsi" w:cstheme="minorHAnsi"/>
        </w:rPr>
        <w:t xml:space="preserve"> “servicios comunitarios que </w:t>
      </w:r>
      <w:r w:rsidRPr="009D593A">
        <w:rPr>
          <w:rFonts w:asciiTheme="minorHAnsi" w:hAnsiTheme="minorHAnsi" w:cstheme="minorHAnsi"/>
        </w:rPr>
        <w:lastRenderedPageBreak/>
        <w:t>satisfagan las necesidades de los pacientes en la comunidad”</w:t>
      </w:r>
      <w:r w:rsidRPr="009D593A">
        <w:rPr>
          <w:rStyle w:val="FootnoteReference"/>
          <w:rFonts w:asciiTheme="minorHAnsi" w:hAnsiTheme="minorHAnsi" w:cstheme="minorHAnsi"/>
          <w:lang w:val="en-US"/>
        </w:rPr>
        <w:footnoteReference w:id="45"/>
      </w:r>
      <w:r w:rsidRPr="009D593A">
        <w:rPr>
          <w:rFonts w:asciiTheme="minorHAnsi" w:hAnsiTheme="minorHAnsi" w:cstheme="minorHAnsi"/>
        </w:rPr>
        <w:t xml:space="preserve"> y </w:t>
      </w:r>
      <w:r w:rsidR="00E43243" w:rsidRPr="009D593A">
        <w:rPr>
          <w:rFonts w:asciiTheme="minorHAnsi" w:hAnsiTheme="minorHAnsi" w:cstheme="minorHAnsi"/>
        </w:rPr>
        <w:t xml:space="preserve">garantizar que las personas </w:t>
      </w:r>
      <w:r w:rsidRPr="009D593A">
        <w:rPr>
          <w:rFonts w:asciiTheme="minorHAnsi" w:hAnsiTheme="minorHAnsi" w:cstheme="minorHAnsi"/>
        </w:rPr>
        <w:t>que actualmente están detenidas en el “Federico Mora” tengan acceso a estos servicios, incluyendo servicios de atención médica</w:t>
      </w:r>
      <w:r w:rsidR="00E43243" w:rsidRPr="009D593A">
        <w:rPr>
          <w:rFonts w:asciiTheme="minorHAnsi" w:hAnsiTheme="minorHAnsi" w:cstheme="minorHAnsi"/>
        </w:rPr>
        <w:t xml:space="preserve"> </w:t>
      </w:r>
      <w:r w:rsidRPr="009D593A">
        <w:rPr>
          <w:rFonts w:asciiTheme="minorHAnsi" w:hAnsiTheme="minorHAnsi" w:cstheme="minorHAnsi"/>
        </w:rPr>
        <w:t>fuera del hospital. En ese mismo sentido, organizaciones expertas en temas de discapacidad y salud mental, han recomendado que</w:t>
      </w:r>
      <w:r w:rsidR="00E43243" w:rsidRPr="009D593A">
        <w:rPr>
          <w:rFonts w:asciiTheme="minorHAnsi" w:hAnsiTheme="minorHAnsi" w:cstheme="minorHAnsi"/>
        </w:rPr>
        <w:t>,</w:t>
      </w:r>
      <w:r w:rsidRPr="009D593A">
        <w:rPr>
          <w:rFonts w:asciiTheme="minorHAnsi" w:hAnsiTheme="minorHAnsi" w:cstheme="minorHAnsi"/>
        </w:rPr>
        <w:t xml:space="preserve"> para hacer frente a la pandemia, y “[p]ara facilitar una disminución de la población de pacientes psiquiátricos hospitalizados, el gobierno federal, los estados y las localidades deberían aumentar su apoyo a proveedores comunitarios de tratamiento ambulatorio de salud mental”</w:t>
      </w:r>
      <w:r w:rsidRPr="009D593A">
        <w:rPr>
          <w:rFonts w:asciiTheme="minorHAnsi" w:hAnsiTheme="minorHAnsi" w:cstheme="minorHAnsi"/>
          <w:vertAlign w:val="superscript"/>
        </w:rPr>
        <w:footnoteReference w:id="46"/>
      </w:r>
      <w:r w:rsidRPr="009D593A">
        <w:rPr>
          <w:rFonts w:asciiTheme="minorHAnsi" w:hAnsiTheme="minorHAnsi" w:cstheme="minorHAnsi"/>
        </w:rPr>
        <w:t>.</w:t>
      </w:r>
    </w:p>
    <w:p w14:paraId="6EF44FBD" w14:textId="2DA3EC8A" w:rsidR="00243564" w:rsidRDefault="00243564" w:rsidP="00530D11">
      <w:pPr>
        <w:spacing w:after="0" w:line="240" w:lineRule="auto"/>
        <w:jc w:val="both"/>
        <w:rPr>
          <w:rFonts w:asciiTheme="minorHAnsi" w:hAnsiTheme="minorHAnsi" w:cstheme="minorHAnsi"/>
        </w:rPr>
      </w:pPr>
    </w:p>
    <w:p w14:paraId="15883F9E" w14:textId="77777777" w:rsidR="00243564" w:rsidRDefault="00243564" w:rsidP="00243564">
      <w:pPr>
        <w:spacing w:after="0" w:line="240" w:lineRule="auto"/>
        <w:jc w:val="both"/>
        <w:rPr>
          <w:rFonts w:asciiTheme="minorHAnsi" w:hAnsiTheme="minorHAnsi" w:cstheme="minorHAnsi"/>
        </w:rPr>
      </w:pPr>
      <w:r w:rsidRPr="009D593A">
        <w:rPr>
          <w:rFonts w:asciiTheme="minorHAnsi" w:hAnsiTheme="minorHAnsi" w:cstheme="minorHAnsi"/>
        </w:rPr>
        <w:t>C</w:t>
      </w:r>
      <w:r>
        <w:rPr>
          <w:rFonts w:asciiTheme="minorHAnsi" w:hAnsiTheme="minorHAnsi" w:cstheme="minorHAnsi"/>
        </w:rPr>
        <w:t>abe mencionar que, c</w:t>
      </w:r>
      <w:r w:rsidRPr="009D593A">
        <w:rPr>
          <w:rFonts w:asciiTheme="minorHAnsi" w:hAnsiTheme="minorHAnsi" w:cstheme="minorHAnsi"/>
        </w:rPr>
        <w:t>omo “consecuencia de la emergencia provocada a nivel mundial por la pandemia del COVID-19”</w:t>
      </w:r>
      <w:r w:rsidRPr="009D593A">
        <w:rPr>
          <w:rStyle w:val="FootnoteReference"/>
          <w:rFonts w:asciiTheme="minorHAnsi" w:hAnsiTheme="minorHAnsi" w:cstheme="minorHAnsi"/>
        </w:rPr>
        <w:footnoteReference w:id="47"/>
      </w:r>
      <w:r w:rsidRPr="009D593A">
        <w:rPr>
          <w:rFonts w:asciiTheme="minorHAnsi" w:hAnsiTheme="minorHAnsi" w:cstheme="minorHAnsi"/>
        </w:rPr>
        <w:t xml:space="preserve">, el 8 de abril de 2020 se publicó en el Diario de Centro América el Decreto número 13-2020 que busca otorgar un beneficio económico a los sectores más vulnerables de la población. Aunque este apoyo denominado “Fondo Bono Familia” incluye a las personas con discapacidad, excluye a las personas con discapacidad que se encuentran institucionalizadas, por lo que las y los pacientes del “Federico Mora” no pueden beneficiarse de este apoyo. </w:t>
      </w:r>
      <w:r>
        <w:rPr>
          <w:rFonts w:asciiTheme="minorHAnsi" w:hAnsiTheme="minorHAnsi" w:cstheme="minorHAnsi"/>
        </w:rPr>
        <w:t xml:space="preserve">Este apoyo debe también estar disponible para los pacientes del “Federico Mora” y utilizarse para la provisión de los servicios que necesitan en la comunidad. </w:t>
      </w:r>
    </w:p>
    <w:p w14:paraId="5F3861FE" w14:textId="77777777" w:rsidR="00243564" w:rsidRDefault="00243564" w:rsidP="00243564">
      <w:pPr>
        <w:spacing w:after="0" w:line="240" w:lineRule="auto"/>
        <w:jc w:val="both"/>
        <w:rPr>
          <w:rFonts w:asciiTheme="minorHAnsi" w:hAnsiTheme="minorHAnsi" w:cstheme="minorHAnsi"/>
        </w:rPr>
      </w:pPr>
    </w:p>
    <w:p w14:paraId="2F2A7D9F" w14:textId="1038E7FB" w:rsidR="00243564" w:rsidRPr="00243564" w:rsidRDefault="00243564" w:rsidP="00243564">
      <w:pPr>
        <w:pStyle w:val="ListParagraph"/>
        <w:numPr>
          <w:ilvl w:val="0"/>
          <w:numId w:val="9"/>
        </w:numPr>
        <w:spacing w:after="0" w:line="240" w:lineRule="auto"/>
        <w:jc w:val="both"/>
        <w:rPr>
          <w:rFonts w:asciiTheme="minorHAnsi" w:hAnsiTheme="minorHAnsi" w:cstheme="minorHAnsi"/>
        </w:rPr>
      </w:pPr>
      <w:r w:rsidRPr="00243564">
        <w:rPr>
          <w:rFonts w:asciiTheme="minorHAnsi" w:hAnsiTheme="minorHAnsi" w:cstheme="minorHAnsi"/>
        </w:rPr>
        <w:t>Negación de la capacidad jurídica de las y los pacientes del Federico Mora</w:t>
      </w:r>
    </w:p>
    <w:p w14:paraId="0C220A04" w14:textId="77777777" w:rsidR="00243564" w:rsidRPr="009D593A" w:rsidRDefault="00243564" w:rsidP="00243564">
      <w:pPr>
        <w:spacing w:after="0" w:line="240" w:lineRule="auto"/>
        <w:jc w:val="both"/>
        <w:rPr>
          <w:rFonts w:asciiTheme="minorHAnsi" w:hAnsiTheme="minorHAnsi" w:cstheme="minorHAnsi"/>
        </w:rPr>
      </w:pPr>
    </w:p>
    <w:p w14:paraId="10E6F959" w14:textId="77777777" w:rsidR="00243564" w:rsidRDefault="00243564" w:rsidP="00243564">
      <w:pPr>
        <w:spacing w:after="0" w:line="240" w:lineRule="auto"/>
        <w:jc w:val="both"/>
        <w:rPr>
          <w:rFonts w:asciiTheme="minorHAnsi" w:hAnsiTheme="minorHAnsi" w:cstheme="minorHAnsi"/>
          <w:lang w:val="es-GT"/>
        </w:rPr>
      </w:pPr>
      <w:r w:rsidRPr="009D593A">
        <w:rPr>
          <w:rFonts w:asciiTheme="minorHAnsi" w:hAnsiTheme="minorHAnsi" w:cstheme="minorHAnsi"/>
        </w:rPr>
        <w:t xml:space="preserve">El artículo 308 del Código Civil regula la tutela legal de los directores o superiores de los establecimientos de asistencia social. En virtud de esta figura, las autoridades superiores del “Federico Mora” ostentan la representación legal de las y los pacientes desde el momento de su ingreso, es decir, dicha representación se ejerce </w:t>
      </w:r>
      <w:r w:rsidRPr="009D593A">
        <w:rPr>
          <w:rFonts w:asciiTheme="minorHAnsi" w:hAnsiTheme="minorHAnsi" w:cstheme="minorHAnsi"/>
          <w:i/>
          <w:iCs/>
        </w:rPr>
        <w:t>ipso facto</w:t>
      </w:r>
      <w:r w:rsidRPr="009D593A">
        <w:rPr>
          <w:rFonts w:asciiTheme="minorHAnsi" w:hAnsiTheme="minorHAnsi" w:cstheme="minorHAnsi"/>
        </w:rPr>
        <w:t xml:space="preserve"> sin necesidad de discernimiento judicial previo. </w:t>
      </w:r>
      <w:r w:rsidRPr="009D593A">
        <w:rPr>
          <w:rFonts w:asciiTheme="minorHAnsi" w:hAnsiTheme="minorHAnsi" w:cstheme="minorHAnsi"/>
          <w:lang w:val="es-GT"/>
        </w:rPr>
        <w:t xml:space="preserve">Esta situación de discriminación de </w:t>
      </w:r>
      <w:r w:rsidRPr="009D593A">
        <w:rPr>
          <w:rFonts w:asciiTheme="minorHAnsi" w:hAnsiTheme="minorHAnsi" w:cstheme="minorHAnsi"/>
          <w:i/>
          <w:iCs/>
          <w:lang w:val="es-GT"/>
        </w:rPr>
        <w:t>iure</w:t>
      </w:r>
      <w:r w:rsidRPr="009D593A">
        <w:rPr>
          <w:rFonts w:asciiTheme="minorHAnsi" w:hAnsiTheme="minorHAnsi" w:cstheme="minorHAnsi"/>
          <w:lang w:val="es-GT"/>
        </w:rPr>
        <w:t xml:space="preserve"> ha propiciado la pérdida del derecho a la capacidad jurídica de las personas que son recluidas arbitrariamente en centros de tratamiento psiquiátrico como el “Federico Mora”, sin condiciones de certeza que garanticen el pleno respeto de sus derechos humanos. </w:t>
      </w:r>
    </w:p>
    <w:p w14:paraId="07F88029" w14:textId="77777777" w:rsidR="00243564" w:rsidRDefault="00243564" w:rsidP="00243564">
      <w:pPr>
        <w:spacing w:after="0" w:line="240" w:lineRule="auto"/>
        <w:jc w:val="both"/>
        <w:rPr>
          <w:rFonts w:asciiTheme="minorHAnsi" w:hAnsiTheme="minorHAnsi" w:cstheme="minorHAnsi"/>
          <w:lang w:val="es-GT"/>
        </w:rPr>
      </w:pPr>
    </w:p>
    <w:p w14:paraId="63595A8B" w14:textId="6AB1D651" w:rsidR="00243564" w:rsidRDefault="00243564" w:rsidP="00243564">
      <w:pPr>
        <w:spacing w:after="0" w:line="240" w:lineRule="auto"/>
        <w:jc w:val="both"/>
        <w:rPr>
          <w:rFonts w:asciiTheme="minorHAnsi" w:hAnsiTheme="minorHAnsi" w:cstheme="minorHAnsi"/>
          <w:lang w:val="es-GT"/>
        </w:rPr>
      </w:pPr>
      <w:r>
        <w:rPr>
          <w:rFonts w:asciiTheme="minorHAnsi" w:hAnsiTheme="minorHAnsi" w:cstheme="minorHAnsi"/>
          <w:lang w:val="es-GT"/>
        </w:rPr>
        <w:t xml:space="preserve">Los motivos por los cuales los pacientes ingresan al hospital varia. Algunos </w:t>
      </w:r>
      <w:r w:rsidRPr="009D593A">
        <w:rPr>
          <w:rFonts w:asciiTheme="minorHAnsi" w:hAnsiTheme="minorHAnsi" w:cstheme="minorHAnsi"/>
          <w:lang w:val="es-GT"/>
        </w:rPr>
        <w:t>ingresan para cumplir penas privativas de libertad, impuestas en virtud de sentencias condenatorias firmes; otros son sometidos a medidas de seguridad de internamiento con base en la figura de la peligrosidad; otros simplemente han sido expuestos al abandono por sus familias; y otros, han sido ingresados por vivir en situación de calle y de pobreza.</w:t>
      </w:r>
      <w:r>
        <w:rPr>
          <w:rFonts w:asciiTheme="minorHAnsi" w:hAnsiTheme="minorHAnsi" w:cstheme="minorHAnsi"/>
          <w:lang w:val="es-GT"/>
        </w:rPr>
        <w:t xml:space="preserve"> I</w:t>
      </w:r>
      <w:r w:rsidRPr="009D593A">
        <w:rPr>
          <w:rFonts w:asciiTheme="minorHAnsi" w:hAnsiTheme="minorHAnsi" w:cstheme="minorHAnsi"/>
          <w:lang w:val="es-GT"/>
        </w:rPr>
        <w:t>ndistintamente de cuál sea el motivo de su ingreso</w:t>
      </w:r>
      <w:r>
        <w:rPr>
          <w:rFonts w:asciiTheme="minorHAnsi" w:hAnsiTheme="minorHAnsi" w:cstheme="minorHAnsi"/>
          <w:lang w:val="es-GT"/>
        </w:rPr>
        <w:t>, l</w:t>
      </w:r>
      <w:r w:rsidRPr="009D593A">
        <w:rPr>
          <w:rFonts w:asciiTheme="minorHAnsi" w:hAnsiTheme="minorHAnsi" w:cstheme="minorHAnsi"/>
          <w:lang w:val="es-GT"/>
        </w:rPr>
        <w:t>as y los pacientes pierden automáticamente el ejercicio de su capacidad jurídica, la cual será ejercida en sustitución por un tercero, a partir del momento de su ingreso al “Federico Mora”. Esta pérdida de la capacidad jurídica implica muerte civil para las y los pacientes, para que sea un tercero el que gobierne los aspectos más fundamentales de su vida.</w:t>
      </w:r>
    </w:p>
    <w:p w14:paraId="4377E3F3" w14:textId="6970CB26" w:rsidR="000C0393" w:rsidRDefault="000C0393" w:rsidP="00243564">
      <w:pPr>
        <w:spacing w:after="0" w:line="240" w:lineRule="auto"/>
        <w:jc w:val="both"/>
        <w:rPr>
          <w:rFonts w:asciiTheme="minorHAnsi" w:hAnsiTheme="minorHAnsi" w:cstheme="minorHAnsi"/>
          <w:lang w:val="es-GT"/>
        </w:rPr>
      </w:pPr>
    </w:p>
    <w:p w14:paraId="272E63E5" w14:textId="77777777" w:rsidR="000C0393" w:rsidRDefault="000C0393" w:rsidP="00243564">
      <w:pPr>
        <w:spacing w:after="0" w:line="240" w:lineRule="auto"/>
        <w:jc w:val="both"/>
        <w:rPr>
          <w:rFonts w:asciiTheme="minorHAnsi" w:hAnsiTheme="minorHAnsi" w:cstheme="minorHAnsi"/>
          <w:lang w:val="es-GT"/>
        </w:rPr>
      </w:pPr>
    </w:p>
    <w:p w14:paraId="23DF1597" w14:textId="77777777" w:rsidR="00243564" w:rsidRDefault="00243564" w:rsidP="00243564">
      <w:pPr>
        <w:spacing w:after="0" w:line="240" w:lineRule="auto"/>
        <w:jc w:val="both"/>
        <w:rPr>
          <w:rFonts w:asciiTheme="minorHAnsi" w:hAnsiTheme="minorHAnsi" w:cstheme="minorHAnsi"/>
          <w:lang w:val="es-GT"/>
        </w:rPr>
      </w:pPr>
    </w:p>
    <w:p w14:paraId="5C6E2973" w14:textId="39594767" w:rsidR="00243564" w:rsidRPr="00243564" w:rsidRDefault="00243564" w:rsidP="00243564">
      <w:pPr>
        <w:pStyle w:val="ListParagraph"/>
        <w:numPr>
          <w:ilvl w:val="0"/>
          <w:numId w:val="9"/>
        </w:numPr>
        <w:spacing w:after="0" w:line="240" w:lineRule="auto"/>
        <w:jc w:val="both"/>
        <w:rPr>
          <w:rFonts w:asciiTheme="minorHAnsi" w:hAnsiTheme="minorHAnsi" w:cstheme="minorHAnsi"/>
        </w:rPr>
      </w:pPr>
      <w:r w:rsidRPr="00243564">
        <w:rPr>
          <w:rFonts w:asciiTheme="minorHAnsi" w:hAnsiTheme="minorHAnsi" w:cstheme="minorHAnsi"/>
        </w:rPr>
        <w:lastRenderedPageBreak/>
        <w:t>Inacción y hermetismo de las autoridades para atender la crisis sanitaria del “Federico Mora”</w:t>
      </w:r>
    </w:p>
    <w:p w14:paraId="0939039D" w14:textId="77777777" w:rsidR="00243564" w:rsidRPr="009D593A" w:rsidRDefault="00243564" w:rsidP="00243564">
      <w:pPr>
        <w:spacing w:after="0" w:line="240" w:lineRule="auto"/>
        <w:jc w:val="both"/>
        <w:rPr>
          <w:rFonts w:asciiTheme="minorHAnsi" w:hAnsiTheme="minorHAnsi" w:cstheme="minorHAnsi"/>
        </w:rPr>
      </w:pPr>
    </w:p>
    <w:p w14:paraId="6B4C418D" w14:textId="77777777" w:rsidR="00243564" w:rsidRDefault="00243564" w:rsidP="00243564">
      <w:pPr>
        <w:spacing w:after="0" w:line="240" w:lineRule="auto"/>
        <w:jc w:val="both"/>
        <w:rPr>
          <w:rFonts w:asciiTheme="minorHAnsi" w:hAnsiTheme="minorHAnsi" w:cstheme="minorHAnsi"/>
        </w:rPr>
      </w:pPr>
      <w:r w:rsidRPr="009D593A">
        <w:rPr>
          <w:rFonts w:asciiTheme="minorHAnsi" w:hAnsiTheme="minorHAnsi" w:cstheme="minorHAnsi"/>
        </w:rPr>
        <w:t xml:space="preserve">A pesar de la crisis </w:t>
      </w:r>
      <w:r>
        <w:rPr>
          <w:rFonts w:asciiTheme="minorHAnsi" w:hAnsiTheme="minorHAnsi" w:cstheme="minorHAnsi"/>
        </w:rPr>
        <w:t>sanitaria</w:t>
      </w:r>
      <w:r w:rsidRPr="009D593A">
        <w:rPr>
          <w:rFonts w:asciiTheme="minorHAnsi" w:hAnsiTheme="minorHAnsi" w:cstheme="minorHAnsi"/>
        </w:rPr>
        <w:t xml:space="preserve"> en el Federico Mora, las autoridades de salud han </w:t>
      </w:r>
      <w:r>
        <w:rPr>
          <w:rFonts w:asciiTheme="minorHAnsi" w:hAnsiTheme="minorHAnsi" w:cstheme="minorHAnsi"/>
        </w:rPr>
        <w:t>omitido</w:t>
      </w:r>
      <w:r w:rsidRPr="009D593A">
        <w:rPr>
          <w:rFonts w:asciiTheme="minorHAnsi" w:hAnsiTheme="minorHAnsi" w:cstheme="minorHAnsi"/>
        </w:rPr>
        <w:t xml:space="preserve"> abordar el tema públicamente. De acuerdo con la prensa guatemalteca, un día después de que se alertara sobre las infecciones en el hospital, “el Ministerio de Salud, que ha manejado hermetismo total durante la emergencia sanitaria, no se pronunció sobre el caso. Tampoco lo hizo el presidente Alejandro Giammattei en su acostumbrada cadena nacional”</w:t>
      </w:r>
      <w:r w:rsidRPr="009D593A">
        <w:rPr>
          <w:rFonts w:asciiTheme="minorHAnsi" w:hAnsiTheme="minorHAnsi" w:cstheme="minorHAnsi"/>
          <w:vertAlign w:val="superscript"/>
        </w:rPr>
        <w:footnoteReference w:id="48"/>
      </w:r>
      <w:r w:rsidRPr="009D593A">
        <w:rPr>
          <w:rFonts w:asciiTheme="minorHAnsi" w:hAnsiTheme="minorHAnsi" w:cstheme="minorHAnsi"/>
        </w:rPr>
        <w:t xml:space="preserve">. </w:t>
      </w:r>
    </w:p>
    <w:p w14:paraId="677B9BCE" w14:textId="77777777" w:rsidR="00243564" w:rsidRDefault="00243564" w:rsidP="00243564">
      <w:pPr>
        <w:spacing w:after="0" w:line="240" w:lineRule="auto"/>
        <w:jc w:val="both"/>
        <w:rPr>
          <w:rFonts w:asciiTheme="minorHAnsi" w:hAnsiTheme="minorHAnsi" w:cstheme="minorHAnsi"/>
        </w:rPr>
      </w:pPr>
    </w:p>
    <w:p w14:paraId="0C152919" w14:textId="77777777" w:rsidR="00243564" w:rsidRPr="009D593A" w:rsidRDefault="00243564" w:rsidP="00243564">
      <w:pPr>
        <w:spacing w:after="0" w:line="240" w:lineRule="auto"/>
        <w:jc w:val="both"/>
        <w:rPr>
          <w:rFonts w:asciiTheme="minorHAnsi" w:hAnsiTheme="minorHAnsi" w:cstheme="minorHAnsi"/>
        </w:rPr>
      </w:pPr>
      <w:r w:rsidRPr="009D593A">
        <w:rPr>
          <w:rFonts w:asciiTheme="minorHAnsi" w:hAnsiTheme="minorHAnsi" w:cstheme="minorHAnsi"/>
        </w:rPr>
        <w:t>El personal que ha alertado sobre los casos a DRI y a la prensa lo ha hecho desde el anonimato, debido al temor a represalias</w:t>
      </w:r>
      <w:r w:rsidRPr="009D593A">
        <w:rPr>
          <w:rFonts w:asciiTheme="minorHAnsi" w:hAnsiTheme="minorHAnsi" w:cstheme="minorHAnsi"/>
          <w:vertAlign w:val="superscript"/>
        </w:rPr>
        <w:footnoteReference w:id="49"/>
      </w:r>
      <w:r w:rsidRPr="009D593A">
        <w:rPr>
          <w:rFonts w:asciiTheme="minorHAnsi" w:hAnsiTheme="minorHAnsi" w:cstheme="minorHAnsi"/>
        </w:rPr>
        <w:t>. Un día después de que se confirmaran los casos, fuentes internas del hospital indicaron su preocupación “porque no recibieron información de parte de la dirección del hospital que confirmara la situación. Tampoco les dijeron cómo se iba a manejar en la institución”</w:t>
      </w:r>
      <w:r w:rsidRPr="009D593A">
        <w:rPr>
          <w:rFonts w:asciiTheme="minorHAnsi" w:hAnsiTheme="minorHAnsi" w:cstheme="minorHAnsi"/>
          <w:vertAlign w:val="superscript"/>
        </w:rPr>
        <w:footnoteReference w:id="50"/>
      </w:r>
      <w:r w:rsidRPr="009D593A">
        <w:rPr>
          <w:rFonts w:asciiTheme="minorHAnsi" w:hAnsiTheme="minorHAnsi" w:cstheme="minorHAnsi"/>
        </w:rPr>
        <w:t>.</w:t>
      </w:r>
    </w:p>
    <w:p w14:paraId="22D64FD8" w14:textId="77777777" w:rsidR="00243564" w:rsidRPr="009D593A" w:rsidRDefault="00243564" w:rsidP="00243564">
      <w:pPr>
        <w:spacing w:after="0" w:line="240" w:lineRule="auto"/>
        <w:jc w:val="both"/>
        <w:rPr>
          <w:rFonts w:asciiTheme="minorHAnsi" w:hAnsiTheme="minorHAnsi" w:cstheme="minorHAnsi"/>
        </w:rPr>
      </w:pPr>
    </w:p>
    <w:p w14:paraId="12C1C7F2" w14:textId="77777777" w:rsidR="00243564" w:rsidRPr="009D593A" w:rsidRDefault="00243564" w:rsidP="00243564">
      <w:pPr>
        <w:spacing w:line="240" w:lineRule="auto"/>
        <w:jc w:val="both"/>
        <w:rPr>
          <w:rFonts w:asciiTheme="minorHAnsi" w:hAnsiTheme="minorHAnsi" w:cstheme="minorHAnsi"/>
        </w:rPr>
      </w:pPr>
      <w:r w:rsidRPr="009D593A">
        <w:rPr>
          <w:rFonts w:asciiTheme="minorHAnsi" w:hAnsiTheme="minorHAnsi" w:cstheme="minorHAnsi"/>
        </w:rPr>
        <w:t xml:space="preserve">El Defensor de Personas con Discapacidad, Jonatan Natareno, refirió a la prensa guatemalteca que </w:t>
      </w:r>
      <w:r w:rsidRPr="009D593A">
        <w:rPr>
          <w:rFonts w:asciiTheme="minorHAnsi" w:hAnsiTheme="minorHAnsi" w:cstheme="minorHAnsi"/>
          <w:lang w:val="es-ES"/>
        </w:rPr>
        <w:t>la indiferencia de las autoridades hacia esta población es lamentable</w:t>
      </w:r>
      <w:r w:rsidRPr="009D593A">
        <w:rPr>
          <w:rFonts w:asciiTheme="minorHAnsi" w:hAnsiTheme="minorHAnsi" w:cstheme="minorHAnsi"/>
        </w:rPr>
        <w:t>. “La pandemia del COVID-19 es muy preocupante, ya que efectivamente las personas con discapacidad han estado confinadas a la exclusión y a los procesos de discriminación de manera estructural”</w:t>
      </w:r>
      <w:r w:rsidRPr="009D593A">
        <w:rPr>
          <w:rFonts w:asciiTheme="minorHAnsi" w:hAnsiTheme="minorHAnsi" w:cstheme="minorHAnsi"/>
          <w:vertAlign w:val="superscript"/>
        </w:rPr>
        <w:footnoteReference w:id="51"/>
      </w:r>
      <w:r w:rsidRPr="009D593A">
        <w:rPr>
          <w:rFonts w:asciiTheme="minorHAnsi" w:hAnsiTheme="minorHAnsi" w:cstheme="minorHAnsi"/>
        </w:rPr>
        <w:t>. El defensor agregó que “hasta el momento no existe ningún protocolo específico para personas con discapacidad [psico]social, privadas de libertad, así como niños y niñas que se encuentran bajo resguardo del Estado”</w:t>
      </w:r>
      <w:r w:rsidRPr="009D593A">
        <w:rPr>
          <w:rFonts w:asciiTheme="minorHAnsi" w:hAnsiTheme="minorHAnsi" w:cstheme="minorHAnsi"/>
          <w:vertAlign w:val="superscript"/>
        </w:rPr>
        <w:footnoteReference w:id="52"/>
      </w:r>
      <w:r w:rsidRPr="009D593A">
        <w:rPr>
          <w:rFonts w:asciiTheme="minorHAnsi" w:hAnsiTheme="minorHAnsi" w:cstheme="minorHAnsi"/>
        </w:rPr>
        <w:t>. De acuerdo con información proporcionada a las peticionarias, la PDH es la única autoridad que está monitoreando la situación del “Federico Mora”, sin embargo, al defensor de personas con discapacidad se le negó el acceso al Hospital, y sólo ha tenido acercamiento vía telefónica</w:t>
      </w:r>
      <w:r>
        <w:rPr>
          <w:rFonts w:asciiTheme="minorHAnsi" w:hAnsiTheme="minorHAnsi" w:cstheme="minorHAnsi"/>
        </w:rPr>
        <w:t xml:space="preserve"> con el director</w:t>
      </w:r>
      <w:r w:rsidRPr="009D593A">
        <w:rPr>
          <w:rFonts w:asciiTheme="minorHAnsi" w:hAnsiTheme="minorHAnsi" w:cstheme="minorHAnsi"/>
        </w:rPr>
        <w:t>.</w:t>
      </w:r>
    </w:p>
    <w:p w14:paraId="2F20446A" w14:textId="77777777" w:rsidR="00243564" w:rsidRPr="009D593A" w:rsidRDefault="00243564" w:rsidP="00243564">
      <w:pPr>
        <w:spacing w:after="0" w:line="240" w:lineRule="auto"/>
        <w:jc w:val="both"/>
        <w:rPr>
          <w:rFonts w:asciiTheme="minorHAnsi" w:hAnsiTheme="minorHAnsi" w:cstheme="minorHAnsi"/>
        </w:rPr>
      </w:pPr>
      <w:r w:rsidRPr="009D593A">
        <w:rPr>
          <w:rFonts w:asciiTheme="minorHAnsi" w:hAnsiTheme="minorHAnsi" w:cstheme="minorHAnsi"/>
        </w:rPr>
        <w:t>Ante la noticia de los contagios por COVID-19 en el “Federico Mora”, el Consejo Nacional para la Atención de las Personas con Discapacidad (CONADI), ha expresado su preocupación por “la debilidad que se tiene en cuanto a la protección integral de las personas con discapacidad, pues persiste la institucionalización”</w:t>
      </w:r>
      <w:r w:rsidRPr="009D593A">
        <w:rPr>
          <w:rFonts w:asciiTheme="minorHAnsi" w:hAnsiTheme="minorHAnsi" w:cstheme="minorHAnsi"/>
          <w:vertAlign w:val="superscript"/>
        </w:rPr>
        <w:footnoteReference w:id="53"/>
      </w:r>
      <w:r w:rsidRPr="009D593A">
        <w:rPr>
          <w:rFonts w:asciiTheme="minorHAnsi" w:hAnsiTheme="minorHAnsi" w:cstheme="minorHAnsi"/>
        </w:rPr>
        <w:t xml:space="preserve">, por lo que </w:t>
      </w:r>
      <w:r>
        <w:rPr>
          <w:rFonts w:asciiTheme="minorHAnsi" w:hAnsiTheme="minorHAnsi" w:cstheme="minorHAnsi"/>
        </w:rPr>
        <w:t xml:space="preserve">hizo </w:t>
      </w:r>
      <w:r w:rsidRPr="009D593A">
        <w:rPr>
          <w:rFonts w:asciiTheme="minorHAnsi" w:hAnsiTheme="minorHAnsi" w:cstheme="minorHAnsi"/>
        </w:rPr>
        <w:t>“un llamado a implementar un proceso de desinstitucionalización y promoción de vida en comunidad en contextos inclusivos para adultos y adultas con discapacidad”</w:t>
      </w:r>
      <w:r w:rsidRPr="009D593A">
        <w:rPr>
          <w:rFonts w:asciiTheme="minorHAnsi" w:hAnsiTheme="minorHAnsi" w:cstheme="minorHAnsi"/>
          <w:vertAlign w:val="superscript"/>
        </w:rPr>
        <w:footnoteReference w:id="54"/>
      </w:r>
      <w:r w:rsidRPr="009D593A">
        <w:rPr>
          <w:rFonts w:asciiTheme="minorHAnsi" w:hAnsiTheme="minorHAnsi" w:cstheme="minorHAnsi"/>
        </w:rPr>
        <w:t>.</w:t>
      </w:r>
    </w:p>
    <w:p w14:paraId="03ED6483" w14:textId="77777777" w:rsidR="00243564" w:rsidRPr="009D593A" w:rsidRDefault="00243564" w:rsidP="00243564">
      <w:pPr>
        <w:spacing w:after="0" w:line="240" w:lineRule="auto"/>
        <w:jc w:val="both"/>
        <w:rPr>
          <w:rFonts w:asciiTheme="minorHAnsi" w:hAnsiTheme="minorHAnsi" w:cstheme="minorHAnsi"/>
        </w:rPr>
      </w:pPr>
    </w:p>
    <w:p w14:paraId="4535AC70" w14:textId="77777777" w:rsidR="00243564" w:rsidRDefault="00243564" w:rsidP="00243564">
      <w:pPr>
        <w:spacing w:line="240" w:lineRule="auto"/>
        <w:jc w:val="both"/>
        <w:rPr>
          <w:rFonts w:asciiTheme="minorHAnsi" w:hAnsiTheme="minorHAnsi" w:cstheme="minorHAnsi"/>
          <w:lang w:val="es-ES"/>
        </w:rPr>
      </w:pPr>
      <w:r w:rsidRPr="009D593A">
        <w:rPr>
          <w:rFonts w:asciiTheme="minorHAnsi" w:hAnsiTheme="minorHAnsi" w:cstheme="minorHAnsi"/>
        </w:rPr>
        <w:t>En una carta dirigida al Ministro de Salud, del 29 de abril, DRI instó al Estado Guatemalteco a garantizar el derecho a la vida de la población detenida en el “Federico Mora” y garantizar su derecho a recibir atención médica en un entorno comunitario</w:t>
      </w:r>
      <w:r w:rsidRPr="009D593A">
        <w:rPr>
          <w:rStyle w:val="FootnoteReference"/>
          <w:rFonts w:asciiTheme="minorHAnsi" w:hAnsiTheme="minorHAnsi" w:cstheme="minorHAnsi"/>
        </w:rPr>
        <w:footnoteReference w:id="55"/>
      </w:r>
      <w:r w:rsidRPr="009D593A">
        <w:rPr>
          <w:rFonts w:asciiTheme="minorHAnsi" w:hAnsiTheme="minorHAnsi" w:cstheme="minorHAnsi"/>
        </w:rPr>
        <w:t>.</w:t>
      </w:r>
      <w:r w:rsidRPr="009D593A">
        <w:rPr>
          <w:rFonts w:asciiTheme="minorHAnsi" w:eastAsia="Times New Roman" w:hAnsiTheme="minorHAnsi" w:cstheme="minorHAnsi"/>
          <w:b/>
          <w:color w:val="222222"/>
          <w:lang w:val="es-ES"/>
        </w:rPr>
        <w:t xml:space="preserve"> </w:t>
      </w:r>
      <w:r w:rsidRPr="009D593A">
        <w:rPr>
          <w:rFonts w:asciiTheme="minorHAnsi" w:hAnsiTheme="minorHAnsi" w:cstheme="minorHAnsi"/>
          <w:lang w:val="es-ES"/>
        </w:rPr>
        <w:t>A pesar de estos llamamientos, el Estado de Guatemala no ha llevado a cabo las medidas necesarias para prevenir la propagación del COVID-19 y la muerte de las personas detenidas en el hospital.</w:t>
      </w:r>
    </w:p>
    <w:p w14:paraId="147B6213" w14:textId="77777777" w:rsidR="00243564" w:rsidRPr="00243564" w:rsidRDefault="00243564" w:rsidP="00243564">
      <w:pPr>
        <w:spacing w:after="0" w:line="240" w:lineRule="auto"/>
        <w:jc w:val="both"/>
        <w:rPr>
          <w:rFonts w:asciiTheme="minorHAnsi" w:hAnsiTheme="minorHAnsi" w:cstheme="minorHAnsi"/>
          <w:lang w:val="es-ES"/>
        </w:rPr>
      </w:pPr>
    </w:p>
    <w:p w14:paraId="539B39B4" w14:textId="75A2C85B" w:rsidR="007B6183" w:rsidRDefault="007B6183" w:rsidP="00530D11">
      <w:pPr>
        <w:spacing w:after="0" w:line="240" w:lineRule="auto"/>
        <w:jc w:val="both"/>
        <w:rPr>
          <w:rFonts w:asciiTheme="minorHAnsi" w:hAnsiTheme="minorHAnsi" w:cstheme="minorHAnsi"/>
          <w:lang w:val="es-GT"/>
        </w:rPr>
      </w:pPr>
    </w:p>
    <w:p w14:paraId="0902C689" w14:textId="67B91BD2" w:rsidR="007B6183" w:rsidRPr="009D593A" w:rsidRDefault="007B6183" w:rsidP="007B6183">
      <w:pPr>
        <w:pStyle w:val="ListParagraph"/>
        <w:numPr>
          <w:ilvl w:val="1"/>
          <w:numId w:val="1"/>
        </w:numPr>
        <w:spacing w:after="0" w:line="240" w:lineRule="auto"/>
        <w:jc w:val="both"/>
        <w:rPr>
          <w:rFonts w:asciiTheme="minorHAnsi" w:hAnsiTheme="minorHAnsi" w:cstheme="minorHAnsi"/>
          <w:b/>
          <w:bCs/>
          <w:lang w:val="es-ES"/>
        </w:rPr>
      </w:pPr>
      <w:r w:rsidRPr="009D593A">
        <w:rPr>
          <w:rFonts w:asciiTheme="minorHAnsi" w:hAnsiTheme="minorHAnsi" w:cstheme="minorHAnsi"/>
          <w:b/>
          <w:bCs/>
          <w:lang w:val="es-ES"/>
        </w:rPr>
        <w:lastRenderedPageBreak/>
        <w:t>REQUISITOS Y ESTÁNDARES PARA EL OTORGAMIENTO O LA EXTENSIÓN DE LAS MEDIDAS CAUTELARES</w:t>
      </w:r>
    </w:p>
    <w:p w14:paraId="4A872619" w14:textId="77777777" w:rsidR="007B6183" w:rsidRPr="009D593A" w:rsidRDefault="007B6183" w:rsidP="007B6183">
      <w:pPr>
        <w:spacing w:after="0" w:line="240" w:lineRule="auto"/>
        <w:jc w:val="both"/>
        <w:rPr>
          <w:rFonts w:asciiTheme="minorHAnsi" w:hAnsiTheme="minorHAnsi" w:cstheme="minorHAnsi"/>
        </w:rPr>
      </w:pPr>
    </w:p>
    <w:p w14:paraId="3DCD6CFE" w14:textId="0CB5413A" w:rsidR="007B6183" w:rsidRPr="009D593A" w:rsidRDefault="007B6183" w:rsidP="007B6183">
      <w:pPr>
        <w:spacing w:after="0" w:line="240" w:lineRule="auto"/>
        <w:jc w:val="both"/>
        <w:rPr>
          <w:rFonts w:asciiTheme="minorHAnsi" w:hAnsiTheme="minorHAnsi" w:cstheme="minorHAnsi"/>
          <w:lang w:val="es-ES"/>
        </w:rPr>
      </w:pPr>
      <w:r w:rsidRPr="009D593A">
        <w:rPr>
          <w:rFonts w:asciiTheme="minorHAnsi" w:hAnsiTheme="minorHAnsi" w:cstheme="minorHAnsi"/>
          <w:lang w:val="es-ES"/>
        </w:rPr>
        <w:t>Al considerar la solicitud de medidas cautelares, la Comisión tendrá en cuenta la gravedad y la urgencia de la situación y el riesgo de daño irreparable al potencial beneficiario</w:t>
      </w:r>
      <w:r w:rsidRPr="009D593A">
        <w:rPr>
          <w:rFonts w:asciiTheme="minorHAnsi" w:hAnsiTheme="minorHAnsi" w:cstheme="minorHAnsi"/>
          <w:vertAlign w:val="superscript"/>
          <w:lang w:val="es-ES"/>
        </w:rPr>
        <w:footnoteReference w:id="56"/>
      </w:r>
      <w:r w:rsidRPr="009D593A">
        <w:rPr>
          <w:rFonts w:asciiTheme="minorHAnsi" w:hAnsiTheme="minorHAnsi" w:cstheme="minorHAnsi"/>
          <w:lang w:val="es-ES"/>
        </w:rPr>
        <w:t xml:space="preserve">, aplicando el criterio de apreciación </w:t>
      </w:r>
      <w:r w:rsidRPr="009D593A">
        <w:rPr>
          <w:rFonts w:asciiTheme="minorHAnsi" w:hAnsiTheme="minorHAnsi" w:cstheme="minorHAnsi"/>
          <w:i/>
          <w:iCs/>
          <w:lang w:val="es-ES"/>
        </w:rPr>
        <w:t>prima facie</w:t>
      </w:r>
      <w:r w:rsidRPr="009D593A">
        <w:rPr>
          <w:rFonts w:asciiTheme="minorHAnsi" w:hAnsiTheme="minorHAnsi" w:cstheme="minorHAnsi"/>
          <w:i/>
          <w:iCs/>
          <w:vertAlign w:val="superscript"/>
          <w:lang w:val="es-ES"/>
        </w:rPr>
        <w:footnoteReference w:id="57"/>
      </w:r>
      <w:r w:rsidRPr="009D593A">
        <w:rPr>
          <w:rFonts w:asciiTheme="minorHAnsi" w:hAnsiTheme="minorHAnsi" w:cstheme="minorHAnsi"/>
          <w:lang w:val="es-ES"/>
        </w:rPr>
        <w:t xml:space="preserve">. Como se ha demostrado a lo largo de este escrito y </w:t>
      </w:r>
      <w:r w:rsidR="006565A8" w:rsidRPr="009D593A">
        <w:rPr>
          <w:rFonts w:asciiTheme="minorHAnsi" w:hAnsiTheme="minorHAnsi" w:cstheme="minorHAnsi"/>
          <w:lang w:val="es-ES"/>
        </w:rPr>
        <w:t xml:space="preserve">como </w:t>
      </w:r>
      <w:r w:rsidRPr="009D593A">
        <w:rPr>
          <w:rFonts w:asciiTheme="minorHAnsi" w:hAnsiTheme="minorHAnsi" w:cstheme="minorHAnsi"/>
          <w:lang w:val="es-ES"/>
        </w:rPr>
        <w:t>es de</w:t>
      </w:r>
      <w:r w:rsidR="006565A8" w:rsidRPr="009D593A">
        <w:rPr>
          <w:rFonts w:asciiTheme="minorHAnsi" w:hAnsiTheme="minorHAnsi" w:cstheme="minorHAnsi"/>
          <w:lang w:val="es-ES"/>
        </w:rPr>
        <w:t>l</w:t>
      </w:r>
      <w:r w:rsidRPr="009D593A">
        <w:rPr>
          <w:rFonts w:asciiTheme="minorHAnsi" w:hAnsiTheme="minorHAnsi" w:cstheme="minorHAnsi"/>
          <w:lang w:val="es-ES"/>
        </w:rPr>
        <w:t xml:space="preserve"> conocimiento de esta Honorable Comisión, </w:t>
      </w:r>
      <w:r w:rsidR="006565A8" w:rsidRPr="009D593A">
        <w:rPr>
          <w:rFonts w:asciiTheme="minorHAnsi" w:hAnsiTheme="minorHAnsi" w:cstheme="minorHAnsi"/>
          <w:lang w:val="es-ES"/>
        </w:rPr>
        <w:t xml:space="preserve">las y </w:t>
      </w:r>
      <w:r w:rsidRPr="009D593A">
        <w:rPr>
          <w:rFonts w:asciiTheme="minorHAnsi" w:hAnsiTheme="minorHAnsi" w:cstheme="minorHAnsi"/>
          <w:lang w:val="es-ES"/>
        </w:rPr>
        <w:t>los propuestos beneficiarios se encuentran en una situación grave y urgente de riesgo de daño irreparable a su vida y su integridad personal.</w:t>
      </w:r>
    </w:p>
    <w:p w14:paraId="0CDB12EF" w14:textId="77777777" w:rsidR="007B6183" w:rsidRPr="009D593A" w:rsidRDefault="007B6183" w:rsidP="007B6183">
      <w:pPr>
        <w:spacing w:after="0" w:line="240" w:lineRule="auto"/>
        <w:jc w:val="both"/>
        <w:rPr>
          <w:rFonts w:asciiTheme="minorHAnsi" w:hAnsiTheme="minorHAnsi" w:cstheme="minorHAnsi"/>
          <w:lang w:val="es-ES"/>
        </w:rPr>
      </w:pPr>
    </w:p>
    <w:p w14:paraId="4B721950" w14:textId="77777777" w:rsidR="007B6183" w:rsidRPr="009D593A" w:rsidRDefault="007B6183" w:rsidP="006507CA">
      <w:pPr>
        <w:pStyle w:val="ListParagraph"/>
        <w:numPr>
          <w:ilvl w:val="0"/>
          <w:numId w:val="11"/>
        </w:numPr>
        <w:spacing w:after="0" w:line="240" w:lineRule="auto"/>
        <w:jc w:val="both"/>
        <w:rPr>
          <w:rFonts w:asciiTheme="minorHAnsi" w:hAnsiTheme="minorHAnsi" w:cstheme="minorHAnsi"/>
          <w:lang w:val="es-ES"/>
        </w:rPr>
      </w:pPr>
      <w:r w:rsidRPr="009D593A">
        <w:rPr>
          <w:rFonts w:asciiTheme="minorHAnsi" w:hAnsiTheme="minorHAnsi" w:cstheme="minorHAnsi"/>
          <w:lang w:val="es-ES"/>
        </w:rPr>
        <w:t>Gravedad de la situación</w:t>
      </w:r>
    </w:p>
    <w:p w14:paraId="7341FEA1" w14:textId="77777777" w:rsidR="007B6183" w:rsidRPr="009D593A" w:rsidRDefault="007B6183" w:rsidP="007B6183">
      <w:pPr>
        <w:spacing w:after="0" w:line="240" w:lineRule="auto"/>
        <w:jc w:val="both"/>
        <w:rPr>
          <w:rFonts w:asciiTheme="minorHAnsi" w:hAnsiTheme="minorHAnsi" w:cstheme="minorHAnsi"/>
          <w:lang w:val="es-ES"/>
        </w:rPr>
      </w:pPr>
    </w:p>
    <w:p w14:paraId="45D26E42" w14:textId="461343DE" w:rsidR="007B6183" w:rsidRPr="009D593A" w:rsidRDefault="007B6183" w:rsidP="007B6183">
      <w:pPr>
        <w:spacing w:after="0" w:line="240" w:lineRule="auto"/>
        <w:jc w:val="both"/>
        <w:rPr>
          <w:rFonts w:asciiTheme="minorHAnsi" w:hAnsiTheme="minorHAnsi" w:cstheme="minorHAnsi"/>
          <w:lang w:val="es-ES"/>
        </w:rPr>
      </w:pPr>
      <w:r w:rsidRPr="009D593A">
        <w:rPr>
          <w:rFonts w:asciiTheme="minorHAnsi" w:hAnsiTheme="minorHAnsi" w:cstheme="minorHAnsi"/>
          <w:lang w:val="es-ES"/>
        </w:rPr>
        <w:t>La gravedad de la situación ha sido entendida por la Comisión como “el serio impacto que una acción u omisión puede tener sobre un derecho protegido”</w:t>
      </w:r>
      <w:r w:rsidR="00F82ACF" w:rsidRPr="009D593A">
        <w:rPr>
          <w:rStyle w:val="FootnoteReference"/>
          <w:rFonts w:asciiTheme="minorHAnsi" w:hAnsiTheme="minorHAnsi" w:cstheme="minorHAnsi"/>
          <w:lang w:val="es-ES"/>
        </w:rPr>
        <w:footnoteReference w:id="58"/>
      </w:r>
      <w:r w:rsidRPr="009D593A">
        <w:rPr>
          <w:rFonts w:asciiTheme="minorHAnsi" w:hAnsiTheme="minorHAnsi" w:cstheme="minorHAnsi"/>
          <w:lang w:val="es-ES"/>
        </w:rPr>
        <w:t>.</w:t>
      </w:r>
      <w:r w:rsidR="00662E2C" w:rsidRPr="009D593A">
        <w:rPr>
          <w:rFonts w:asciiTheme="minorHAnsi" w:hAnsiTheme="minorHAnsi" w:cstheme="minorHAnsi"/>
          <w:lang w:val="es-ES"/>
        </w:rPr>
        <w:t xml:space="preserve"> </w:t>
      </w:r>
      <w:r w:rsidRPr="009D593A">
        <w:rPr>
          <w:rFonts w:asciiTheme="minorHAnsi" w:hAnsiTheme="minorHAnsi" w:cstheme="minorHAnsi"/>
          <w:lang w:val="es-ES"/>
        </w:rPr>
        <w:t>En los casos de las personas que se encuentran bajo custodia del Estado, éste “asume deberes específicos de respeto y garantía de los derechos fundamentales”</w:t>
      </w:r>
      <w:r w:rsidRPr="009D593A">
        <w:rPr>
          <w:rFonts w:asciiTheme="minorHAnsi" w:hAnsiTheme="minorHAnsi" w:cstheme="minorHAnsi"/>
          <w:vertAlign w:val="superscript"/>
          <w:lang w:val="es-ES"/>
        </w:rPr>
        <w:footnoteReference w:id="59"/>
      </w:r>
      <w:r w:rsidRPr="009D593A">
        <w:rPr>
          <w:rFonts w:asciiTheme="minorHAnsi" w:hAnsiTheme="minorHAnsi" w:cstheme="minorHAnsi"/>
          <w:lang w:val="es-ES"/>
        </w:rPr>
        <w:t>. </w:t>
      </w:r>
    </w:p>
    <w:p w14:paraId="34DCB8E9" w14:textId="77777777" w:rsidR="007B6183" w:rsidRPr="009D593A" w:rsidRDefault="007B6183" w:rsidP="007B6183">
      <w:pPr>
        <w:spacing w:after="0" w:line="240" w:lineRule="auto"/>
        <w:jc w:val="both"/>
        <w:rPr>
          <w:rFonts w:asciiTheme="minorHAnsi" w:hAnsiTheme="minorHAnsi" w:cstheme="minorHAnsi"/>
          <w:lang w:val="es-ES"/>
        </w:rPr>
      </w:pPr>
    </w:p>
    <w:p w14:paraId="23FF66B7" w14:textId="73CBA08E" w:rsidR="00C14307" w:rsidRPr="009D593A" w:rsidRDefault="00C14307" w:rsidP="007B6183">
      <w:pPr>
        <w:spacing w:after="0" w:line="240" w:lineRule="auto"/>
        <w:jc w:val="both"/>
        <w:rPr>
          <w:rFonts w:asciiTheme="minorHAnsi" w:hAnsiTheme="minorHAnsi" w:cstheme="minorHAnsi"/>
          <w:lang w:val="es-ES"/>
        </w:rPr>
      </w:pPr>
      <w:r w:rsidRPr="009D593A">
        <w:rPr>
          <w:rFonts w:asciiTheme="minorHAnsi" w:hAnsiTheme="minorHAnsi" w:cstheme="minorHAnsi"/>
          <w:lang w:val="es-ES"/>
        </w:rPr>
        <w:t xml:space="preserve">El Estado de Guatemala ha fallado en crear un protocolo de atención para la población que se encuentra institucionalizada, como es el caso de las y los pacientes del “Federico Mora”. Esta inacción ha derivado en el contagio del personal que tiene la obligación de cuidar y proteger a la población del “Federico Mora”. La falta de respuesta oportuna ha traído como consecuencia que todo un pabellón hacinado esté en cuarentena, exponiendo a todos los pacientes que se encuentran allí a contagiarse de COVID-19 y morir. Igualmente, la falta de respuesta de las autoridades pone en riesgo de contagio al resto la población del “Federico Mora” lo cual, como ya se ha relatado, incrementa el riesgo de muerte debido a </w:t>
      </w:r>
      <w:r w:rsidR="000C0393">
        <w:rPr>
          <w:rFonts w:asciiTheme="minorHAnsi" w:hAnsiTheme="minorHAnsi" w:cstheme="minorHAnsi"/>
          <w:lang w:val="es-ES"/>
        </w:rPr>
        <w:t xml:space="preserve">la falta de atención médica adecuada, la imposibilidad de aislar a los pacientes infectados y las condiciones de la institución que propician la propagación del virus. </w:t>
      </w:r>
    </w:p>
    <w:p w14:paraId="50822989" w14:textId="77777777" w:rsidR="007B6183" w:rsidRPr="009D593A" w:rsidRDefault="007B6183" w:rsidP="007B6183">
      <w:pPr>
        <w:spacing w:after="0" w:line="240" w:lineRule="auto"/>
        <w:jc w:val="both"/>
        <w:rPr>
          <w:rFonts w:asciiTheme="minorHAnsi" w:hAnsiTheme="minorHAnsi" w:cstheme="minorHAnsi"/>
          <w:lang w:val="es-ES"/>
        </w:rPr>
      </w:pPr>
    </w:p>
    <w:p w14:paraId="2C805479" w14:textId="77777777" w:rsidR="007B6183" w:rsidRPr="009D593A" w:rsidRDefault="007B6183" w:rsidP="006507CA">
      <w:pPr>
        <w:pStyle w:val="ListParagraph"/>
        <w:numPr>
          <w:ilvl w:val="0"/>
          <w:numId w:val="11"/>
        </w:numPr>
        <w:spacing w:after="0" w:line="240" w:lineRule="auto"/>
        <w:jc w:val="both"/>
        <w:rPr>
          <w:rFonts w:asciiTheme="minorHAnsi" w:hAnsiTheme="minorHAnsi" w:cstheme="minorHAnsi"/>
          <w:lang w:val="es-ES"/>
        </w:rPr>
      </w:pPr>
      <w:r w:rsidRPr="009D593A">
        <w:rPr>
          <w:rFonts w:asciiTheme="minorHAnsi" w:hAnsiTheme="minorHAnsi" w:cstheme="minorHAnsi"/>
          <w:lang w:val="es-ES"/>
        </w:rPr>
        <w:t>Urgencia de la situación</w:t>
      </w:r>
    </w:p>
    <w:p w14:paraId="5235686B" w14:textId="77777777" w:rsidR="007B6183" w:rsidRPr="009D593A" w:rsidRDefault="007B6183" w:rsidP="007B6183">
      <w:pPr>
        <w:spacing w:after="0" w:line="240" w:lineRule="auto"/>
        <w:jc w:val="both"/>
        <w:rPr>
          <w:rFonts w:asciiTheme="minorHAnsi" w:hAnsiTheme="minorHAnsi" w:cstheme="minorHAnsi"/>
          <w:lang w:val="es-ES"/>
        </w:rPr>
      </w:pPr>
    </w:p>
    <w:p w14:paraId="65F3AF21" w14:textId="5BE155D4" w:rsidR="007B6183" w:rsidRPr="009D593A" w:rsidRDefault="007B6183" w:rsidP="007B6183">
      <w:pPr>
        <w:spacing w:after="0" w:line="240" w:lineRule="auto"/>
        <w:jc w:val="both"/>
        <w:rPr>
          <w:rFonts w:asciiTheme="minorHAnsi" w:hAnsiTheme="minorHAnsi" w:cstheme="minorHAnsi"/>
          <w:lang w:val="es-ES"/>
        </w:rPr>
      </w:pPr>
      <w:r w:rsidRPr="009D593A">
        <w:rPr>
          <w:rFonts w:asciiTheme="minorHAnsi" w:hAnsiTheme="minorHAnsi" w:cstheme="minorHAnsi"/>
          <w:lang w:val="es-ES"/>
        </w:rPr>
        <w:t xml:space="preserve">El requisito de urgencia de la situación se determina por “la información que indica que </w:t>
      </w:r>
      <w:r w:rsidR="00193530" w:rsidRPr="009D593A">
        <w:rPr>
          <w:rFonts w:asciiTheme="minorHAnsi" w:hAnsiTheme="minorHAnsi" w:cstheme="minorHAnsi"/>
          <w:lang w:val="es-ES"/>
        </w:rPr>
        <w:t>el riesgo a la amenaza sea</w:t>
      </w:r>
      <w:r w:rsidRPr="009D593A">
        <w:rPr>
          <w:rFonts w:asciiTheme="minorHAnsi" w:hAnsiTheme="minorHAnsi" w:cstheme="minorHAnsi"/>
          <w:lang w:val="es-ES"/>
        </w:rPr>
        <w:t xml:space="preserve"> </w:t>
      </w:r>
      <w:proofErr w:type="gramStart"/>
      <w:r w:rsidRPr="009D593A">
        <w:rPr>
          <w:rFonts w:asciiTheme="minorHAnsi" w:hAnsiTheme="minorHAnsi" w:cstheme="minorHAnsi"/>
          <w:lang w:val="es-ES"/>
        </w:rPr>
        <w:t>inminentes</w:t>
      </w:r>
      <w:proofErr w:type="gramEnd"/>
      <w:r w:rsidRPr="009D593A">
        <w:rPr>
          <w:rFonts w:asciiTheme="minorHAnsi" w:hAnsiTheme="minorHAnsi" w:cstheme="minorHAnsi"/>
          <w:lang w:val="es-ES"/>
        </w:rPr>
        <w:t xml:space="preserve"> y puedan materializarse”</w:t>
      </w:r>
      <w:r w:rsidRPr="009D593A">
        <w:rPr>
          <w:rFonts w:asciiTheme="minorHAnsi" w:hAnsiTheme="minorHAnsi" w:cstheme="minorHAnsi"/>
          <w:vertAlign w:val="superscript"/>
          <w:lang w:val="es-ES"/>
        </w:rPr>
        <w:footnoteReference w:id="60"/>
      </w:r>
      <w:r w:rsidRPr="009D593A">
        <w:rPr>
          <w:rFonts w:asciiTheme="minorHAnsi" w:hAnsiTheme="minorHAnsi" w:cstheme="minorHAnsi"/>
          <w:lang w:val="es-ES"/>
        </w:rPr>
        <w:t>. De acuerdo con la jurisprudencia de la Comisión, se considera que el requisito se encuentra cumplido cuando “los hechos descritos sugieren que la situación de riesgo es susceptible de continuar y exacerbarse con el tiempo, de tal forma que ante la inminencia de materialización del riesgo resulta necesario de manera inmediata adoptar medidas para salvaguardar [los] derechos a la salud, vida e integridad personal”</w:t>
      </w:r>
      <w:r w:rsidRPr="009D593A">
        <w:rPr>
          <w:rFonts w:asciiTheme="minorHAnsi" w:hAnsiTheme="minorHAnsi" w:cstheme="minorHAnsi"/>
          <w:vertAlign w:val="superscript"/>
          <w:lang w:val="es-ES"/>
        </w:rPr>
        <w:footnoteReference w:id="61"/>
      </w:r>
      <w:r w:rsidRPr="009D593A">
        <w:rPr>
          <w:rFonts w:asciiTheme="minorHAnsi" w:hAnsiTheme="minorHAnsi" w:cstheme="minorHAnsi"/>
          <w:lang w:val="es-ES"/>
        </w:rPr>
        <w:t xml:space="preserve">. La pre-existencia de condiciones violatorias a los derechos </w:t>
      </w:r>
      <w:proofErr w:type="gramStart"/>
      <w:r w:rsidRPr="009D593A">
        <w:rPr>
          <w:rFonts w:asciiTheme="minorHAnsi" w:hAnsiTheme="minorHAnsi" w:cstheme="minorHAnsi"/>
          <w:lang w:val="es-ES"/>
        </w:rPr>
        <w:t>humanos,</w:t>
      </w:r>
      <w:proofErr w:type="gramEnd"/>
      <w:r w:rsidRPr="009D593A">
        <w:rPr>
          <w:rFonts w:asciiTheme="minorHAnsi" w:hAnsiTheme="minorHAnsi" w:cstheme="minorHAnsi"/>
          <w:lang w:val="es-ES"/>
        </w:rPr>
        <w:t xml:space="preserve"> también contribuye a la urgencia de la situación. </w:t>
      </w:r>
    </w:p>
    <w:p w14:paraId="50927228" w14:textId="77777777" w:rsidR="007B6183" w:rsidRPr="009D593A" w:rsidRDefault="007B6183" w:rsidP="007B6183">
      <w:pPr>
        <w:spacing w:after="0" w:line="240" w:lineRule="auto"/>
        <w:jc w:val="both"/>
        <w:rPr>
          <w:rFonts w:asciiTheme="minorHAnsi" w:hAnsiTheme="minorHAnsi" w:cstheme="minorHAnsi"/>
          <w:lang w:val="es-ES"/>
        </w:rPr>
      </w:pPr>
    </w:p>
    <w:p w14:paraId="1D325B53" w14:textId="77777777" w:rsidR="007B6183" w:rsidRPr="009D593A" w:rsidRDefault="007B6183" w:rsidP="007B6183">
      <w:pPr>
        <w:spacing w:after="0" w:line="240" w:lineRule="auto"/>
        <w:jc w:val="both"/>
        <w:rPr>
          <w:rFonts w:asciiTheme="minorHAnsi" w:hAnsiTheme="minorHAnsi" w:cstheme="minorHAnsi"/>
          <w:lang w:val="es-ES"/>
        </w:rPr>
      </w:pPr>
      <w:r w:rsidRPr="009D593A">
        <w:rPr>
          <w:rFonts w:asciiTheme="minorHAnsi" w:hAnsiTheme="minorHAnsi" w:cstheme="minorHAnsi"/>
          <w:lang w:val="es-ES"/>
        </w:rPr>
        <w:t xml:space="preserve">En este caso, las condiciones deplorables y demás problemas en el “Federico Mora” que dieron origen a las medidas cautelares MC-370-12 persisten hasta la fecha, pero se exacerban ante la </w:t>
      </w:r>
      <w:r w:rsidRPr="009D593A">
        <w:rPr>
          <w:rFonts w:asciiTheme="minorHAnsi" w:hAnsiTheme="minorHAnsi" w:cstheme="minorHAnsi"/>
          <w:lang w:val="es-ES"/>
        </w:rPr>
        <w:lastRenderedPageBreak/>
        <w:t xml:space="preserve">situación actual y el riesgo inminente de contagio del COVID-19, frente al cual el Estado guatemalteco no ha llevado </w:t>
      </w:r>
      <w:r w:rsidRPr="009D593A">
        <w:rPr>
          <w:rFonts w:asciiTheme="minorHAnsi" w:hAnsiTheme="minorHAnsi" w:cstheme="minorHAnsi"/>
        </w:rPr>
        <w:t>a cabo las medidas necesarias para evitar el contagio y muerte de las personas detenidas en el hospital</w:t>
      </w:r>
    </w:p>
    <w:p w14:paraId="2FE63D1F" w14:textId="77777777" w:rsidR="007B6183" w:rsidRPr="009D593A" w:rsidRDefault="007B6183" w:rsidP="007B6183">
      <w:pPr>
        <w:spacing w:after="0" w:line="240" w:lineRule="auto"/>
        <w:jc w:val="both"/>
        <w:rPr>
          <w:rFonts w:asciiTheme="minorHAnsi" w:hAnsiTheme="minorHAnsi" w:cstheme="minorHAnsi"/>
          <w:lang w:val="es-ES"/>
        </w:rPr>
      </w:pPr>
    </w:p>
    <w:p w14:paraId="2EC38A0E" w14:textId="77777777" w:rsidR="007B6183" w:rsidRPr="009D593A" w:rsidRDefault="007B6183" w:rsidP="006507CA">
      <w:pPr>
        <w:pStyle w:val="ListParagraph"/>
        <w:numPr>
          <w:ilvl w:val="0"/>
          <w:numId w:val="11"/>
        </w:numPr>
        <w:spacing w:after="0" w:line="240" w:lineRule="auto"/>
        <w:jc w:val="both"/>
        <w:rPr>
          <w:rFonts w:asciiTheme="minorHAnsi" w:hAnsiTheme="minorHAnsi" w:cstheme="minorHAnsi"/>
          <w:lang w:val="es-ES"/>
        </w:rPr>
      </w:pPr>
      <w:r w:rsidRPr="009D593A">
        <w:rPr>
          <w:rFonts w:asciiTheme="minorHAnsi" w:hAnsiTheme="minorHAnsi" w:cstheme="minorHAnsi"/>
          <w:lang w:val="es-ES"/>
        </w:rPr>
        <w:t>Daño irreparable</w:t>
      </w:r>
    </w:p>
    <w:p w14:paraId="1E9412FB" w14:textId="77777777" w:rsidR="007B6183" w:rsidRPr="009D593A" w:rsidRDefault="007B6183" w:rsidP="007B6183">
      <w:pPr>
        <w:spacing w:after="0" w:line="240" w:lineRule="auto"/>
        <w:jc w:val="both"/>
        <w:rPr>
          <w:rFonts w:asciiTheme="minorHAnsi" w:hAnsiTheme="minorHAnsi" w:cstheme="minorHAnsi"/>
          <w:lang w:val="es-ES"/>
        </w:rPr>
      </w:pPr>
    </w:p>
    <w:p w14:paraId="31A8DD22" w14:textId="360041A9" w:rsidR="007B6183" w:rsidRPr="009D593A" w:rsidRDefault="007B6183" w:rsidP="007B6183">
      <w:pPr>
        <w:spacing w:after="0" w:line="240" w:lineRule="auto"/>
        <w:jc w:val="both"/>
        <w:rPr>
          <w:rFonts w:asciiTheme="minorHAnsi" w:hAnsiTheme="minorHAnsi" w:cstheme="minorHAnsi"/>
          <w:lang w:val="es-ES"/>
        </w:rPr>
      </w:pPr>
      <w:r w:rsidRPr="009D593A">
        <w:rPr>
          <w:rFonts w:asciiTheme="minorHAnsi" w:hAnsiTheme="minorHAnsi" w:cstheme="minorHAnsi"/>
          <w:lang w:val="es-ES"/>
        </w:rPr>
        <w:t>El daño irreparable describe “la afectación sobre derechos que, por su propia naturaleza, no son susceptibles de reparación, restauración o adecuada indemnización”</w:t>
      </w:r>
      <w:r w:rsidRPr="009D593A">
        <w:rPr>
          <w:rFonts w:asciiTheme="minorHAnsi" w:hAnsiTheme="minorHAnsi" w:cstheme="minorHAnsi"/>
          <w:vertAlign w:val="superscript"/>
          <w:lang w:val="es-ES"/>
        </w:rPr>
        <w:footnoteReference w:id="62"/>
      </w:r>
      <w:r w:rsidR="00193530" w:rsidRPr="009D593A">
        <w:rPr>
          <w:rFonts w:asciiTheme="minorHAnsi" w:hAnsiTheme="minorHAnsi" w:cstheme="minorHAnsi"/>
          <w:lang w:val="es-ES"/>
        </w:rPr>
        <w:t xml:space="preserve">. </w:t>
      </w:r>
      <w:r w:rsidRPr="009D593A">
        <w:rPr>
          <w:rFonts w:asciiTheme="minorHAnsi" w:hAnsiTheme="minorHAnsi" w:cstheme="minorHAnsi"/>
          <w:lang w:val="es-ES"/>
        </w:rPr>
        <w:t xml:space="preserve">El requisito de </w:t>
      </w:r>
      <w:proofErr w:type="spellStart"/>
      <w:r w:rsidRPr="009D593A">
        <w:rPr>
          <w:rFonts w:asciiTheme="minorHAnsi" w:hAnsiTheme="minorHAnsi" w:cstheme="minorHAnsi"/>
          <w:lang w:val="es-ES"/>
        </w:rPr>
        <w:t>irreparabilidad</w:t>
      </w:r>
      <w:proofErr w:type="spellEnd"/>
      <w:r w:rsidRPr="009D593A">
        <w:rPr>
          <w:rFonts w:asciiTheme="minorHAnsi" w:hAnsiTheme="minorHAnsi" w:cstheme="minorHAnsi"/>
          <w:lang w:val="es-ES"/>
        </w:rPr>
        <w:t xml:space="preserve"> se encuentra cumplido en la medida que, como lo ha destacado la Comisión, “la posible afectación al derecho a la vida e integridad personal constituye la máxima situación de </w:t>
      </w:r>
      <w:proofErr w:type="spellStart"/>
      <w:r w:rsidRPr="009D593A">
        <w:rPr>
          <w:rFonts w:asciiTheme="minorHAnsi" w:hAnsiTheme="minorHAnsi" w:cstheme="minorHAnsi"/>
          <w:lang w:val="es-ES"/>
        </w:rPr>
        <w:t>irreparabilidad</w:t>
      </w:r>
      <w:proofErr w:type="spellEnd"/>
      <w:r w:rsidRPr="009D593A">
        <w:rPr>
          <w:rFonts w:asciiTheme="minorHAnsi" w:hAnsiTheme="minorHAnsi" w:cstheme="minorHAnsi"/>
          <w:lang w:val="es-ES"/>
        </w:rPr>
        <w:t>”</w:t>
      </w:r>
      <w:r w:rsidRPr="009D593A">
        <w:rPr>
          <w:rFonts w:asciiTheme="minorHAnsi" w:hAnsiTheme="minorHAnsi" w:cstheme="minorHAnsi"/>
          <w:vertAlign w:val="superscript"/>
          <w:lang w:val="es-ES"/>
        </w:rPr>
        <w:footnoteReference w:id="63"/>
      </w:r>
      <w:r w:rsidRPr="009D593A">
        <w:rPr>
          <w:rFonts w:asciiTheme="minorHAnsi" w:hAnsiTheme="minorHAnsi" w:cstheme="minorHAnsi"/>
          <w:lang w:val="es-ES"/>
        </w:rPr>
        <w:t>.</w:t>
      </w:r>
    </w:p>
    <w:p w14:paraId="363832CD" w14:textId="77777777" w:rsidR="007B6183" w:rsidRPr="009D593A" w:rsidRDefault="007B6183" w:rsidP="007B6183">
      <w:pPr>
        <w:spacing w:after="0" w:line="240" w:lineRule="auto"/>
        <w:jc w:val="both"/>
        <w:rPr>
          <w:rFonts w:asciiTheme="minorHAnsi" w:hAnsiTheme="minorHAnsi" w:cstheme="minorHAnsi"/>
          <w:lang w:val="es-ES"/>
        </w:rPr>
      </w:pPr>
    </w:p>
    <w:p w14:paraId="2501A6F6" w14:textId="5DE257F7" w:rsidR="007B6183" w:rsidRPr="009D593A" w:rsidRDefault="007B6183" w:rsidP="007B6183">
      <w:pPr>
        <w:spacing w:after="0" w:line="240" w:lineRule="auto"/>
        <w:jc w:val="both"/>
        <w:rPr>
          <w:rFonts w:asciiTheme="minorHAnsi" w:hAnsiTheme="minorHAnsi" w:cstheme="minorHAnsi"/>
          <w:lang w:val="es-ES"/>
        </w:rPr>
      </w:pPr>
      <w:r w:rsidRPr="009D593A">
        <w:rPr>
          <w:rFonts w:asciiTheme="minorHAnsi" w:hAnsiTheme="minorHAnsi" w:cstheme="minorHAnsi"/>
          <w:lang w:val="es-ES"/>
        </w:rPr>
        <w:t xml:space="preserve">En este caso, como se mencionó anteriormente, las y </w:t>
      </w:r>
      <w:r w:rsidRPr="009D593A">
        <w:rPr>
          <w:rFonts w:asciiTheme="minorHAnsi" w:hAnsiTheme="minorHAnsi" w:cstheme="minorHAnsi"/>
        </w:rPr>
        <w:t>los pacientes aislados con personal que ha contraído COVID-19 están en un riesgo inmediato de muerte, ya que se encuentran en condiciones de hacinamiento y sin tratamiento médico adecuado. El resto de pacientes en el “Federico Mora” también se encuentra en riesgo de contraer el virus y debido a la precariedad de las condiciones de detenció</w:t>
      </w:r>
      <w:r w:rsidR="00193530" w:rsidRPr="009D593A">
        <w:rPr>
          <w:rFonts w:asciiTheme="minorHAnsi" w:hAnsiTheme="minorHAnsi" w:cstheme="minorHAnsi"/>
        </w:rPr>
        <w:t>n</w:t>
      </w:r>
      <w:r w:rsidRPr="009D593A">
        <w:rPr>
          <w:rFonts w:asciiTheme="minorHAnsi" w:hAnsiTheme="minorHAnsi" w:cstheme="minorHAnsi"/>
        </w:rPr>
        <w:t xml:space="preserve"> y la falta de atención médica adecuada y otras medidas de contención del virus, el contagio de pacientes tendría muy probablemente resultados letales para </w:t>
      </w:r>
      <w:r w:rsidR="00193530" w:rsidRPr="009D593A">
        <w:rPr>
          <w:rFonts w:asciiTheme="minorHAnsi" w:hAnsiTheme="minorHAnsi" w:cstheme="minorHAnsi"/>
        </w:rPr>
        <w:t xml:space="preserve">ellas y </w:t>
      </w:r>
      <w:r w:rsidRPr="009D593A">
        <w:rPr>
          <w:rFonts w:asciiTheme="minorHAnsi" w:hAnsiTheme="minorHAnsi" w:cstheme="minorHAnsi"/>
        </w:rPr>
        <w:t>ellos.</w:t>
      </w:r>
    </w:p>
    <w:p w14:paraId="4B6EDF98" w14:textId="77777777" w:rsidR="007B6183" w:rsidRPr="009D593A" w:rsidRDefault="007B6183" w:rsidP="007B6183">
      <w:pPr>
        <w:spacing w:after="0" w:line="240" w:lineRule="auto"/>
        <w:jc w:val="both"/>
        <w:rPr>
          <w:rFonts w:asciiTheme="minorHAnsi" w:hAnsiTheme="minorHAnsi" w:cstheme="minorHAnsi"/>
        </w:rPr>
      </w:pPr>
    </w:p>
    <w:p w14:paraId="778494D8" w14:textId="77777777" w:rsidR="007B6183" w:rsidRPr="009D593A" w:rsidRDefault="007B6183" w:rsidP="007B6183">
      <w:pPr>
        <w:spacing w:after="0" w:line="240" w:lineRule="auto"/>
        <w:jc w:val="both"/>
        <w:rPr>
          <w:rFonts w:asciiTheme="minorHAnsi" w:hAnsiTheme="minorHAnsi" w:cstheme="minorHAnsi"/>
        </w:rPr>
      </w:pPr>
    </w:p>
    <w:p w14:paraId="344F1F60" w14:textId="77777777" w:rsidR="007B6183" w:rsidRPr="009D593A" w:rsidRDefault="007B6183" w:rsidP="007B6183">
      <w:pPr>
        <w:spacing w:after="0" w:line="240" w:lineRule="auto"/>
        <w:jc w:val="both"/>
        <w:rPr>
          <w:rFonts w:asciiTheme="minorHAnsi" w:hAnsiTheme="minorHAnsi" w:cstheme="minorHAnsi"/>
          <w:b/>
        </w:rPr>
      </w:pPr>
      <w:r w:rsidRPr="009D593A">
        <w:rPr>
          <w:rFonts w:asciiTheme="minorHAnsi" w:hAnsiTheme="minorHAnsi" w:cstheme="minorHAnsi"/>
          <w:b/>
        </w:rPr>
        <w:t>IV. PRUEBAS DOCUMENTALES</w:t>
      </w:r>
    </w:p>
    <w:p w14:paraId="5A7377EC" w14:textId="77777777" w:rsidR="007B6183" w:rsidRPr="009D593A" w:rsidRDefault="007B6183" w:rsidP="007B6183">
      <w:pPr>
        <w:spacing w:after="0" w:line="240" w:lineRule="auto"/>
        <w:jc w:val="both"/>
        <w:rPr>
          <w:rFonts w:asciiTheme="minorHAnsi" w:hAnsiTheme="minorHAnsi" w:cstheme="minorHAnsi"/>
          <w:bCs/>
        </w:rPr>
      </w:pPr>
    </w:p>
    <w:p w14:paraId="406934EC" w14:textId="3A2C925F" w:rsidR="00332722" w:rsidRPr="009D593A" w:rsidRDefault="00634642" w:rsidP="00332722">
      <w:pPr>
        <w:pStyle w:val="ListParagraph"/>
        <w:numPr>
          <w:ilvl w:val="0"/>
          <w:numId w:val="13"/>
        </w:numPr>
        <w:spacing w:after="0" w:line="240" w:lineRule="auto"/>
        <w:jc w:val="both"/>
        <w:rPr>
          <w:rFonts w:asciiTheme="minorHAnsi" w:hAnsiTheme="minorHAnsi" w:cstheme="minorHAnsi"/>
          <w:bCs/>
        </w:rPr>
      </w:pPr>
      <w:r w:rsidRPr="009D593A">
        <w:rPr>
          <w:rFonts w:asciiTheme="minorHAnsi" w:hAnsiTheme="minorHAnsi" w:cstheme="minorHAnsi"/>
          <w:bCs/>
        </w:rPr>
        <w:t>Nota de periódico</w:t>
      </w:r>
      <w:r w:rsidR="00332722" w:rsidRPr="009D593A">
        <w:rPr>
          <w:rFonts w:asciiTheme="minorHAnsi" w:hAnsiTheme="minorHAnsi" w:cstheme="minorHAnsi"/>
          <w:bCs/>
        </w:rPr>
        <w:t xml:space="preserve">. Quimy de León, “En peligro pacientes y trabajadores del Hospital de Salud Mental “Carlos Federico Mora”. Medium (Abril 23, 2020). </w:t>
      </w:r>
      <w:r w:rsidR="00332722" w:rsidRPr="009D593A">
        <w:rPr>
          <w:rFonts w:asciiTheme="minorHAnsi" w:hAnsiTheme="minorHAnsi" w:cstheme="minorHAnsi"/>
          <w:b/>
        </w:rPr>
        <w:t>ANEXO I</w:t>
      </w:r>
      <w:r w:rsidR="00332722" w:rsidRPr="009D593A">
        <w:rPr>
          <w:rFonts w:asciiTheme="minorHAnsi" w:hAnsiTheme="minorHAnsi" w:cstheme="minorHAnsi"/>
          <w:bCs/>
        </w:rPr>
        <w:t>.</w:t>
      </w:r>
    </w:p>
    <w:p w14:paraId="17E582A7" w14:textId="0BD81FE0" w:rsidR="00332722" w:rsidRPr="009D593A" w:rsidRDefault="00332722" w:rsidP="00332722">
      <w:pPr>
        <w:pStyle w:val="ListParagraph"/>
        <w:numPr>
          <w:ilvl w:val="0"/>
          <w:numId w:val="13"/>
        </w:numPr>
        <w:spacing w:after="0" w:line="240" w:lineRule="auto"/>
        <w:jc w:val="both"/>
        <w:rPr>
          <w:rFonts w:asciiTheme="minorHAnsi" w:hAnsiTheme="minorHAnsi" w:cstheme="minorHAnsi"/>
          <w:bCs/>
        </w:rPr>
      </w:pPr>
      <w:r w:rsidRPr="009D593A">
        <w:rPr>
          <w:rFonts w:asciiTheme="minorHAnsi" w:hAnsiTheme="minorHAnsi" w:cstheme="minorHAnsi"/>
          <w:bCs/>
        </w:rPr>
        <w:t xml:space="preserve">Nota de periódico. Pía Flores, “Casos positivos en el San Juan de Dios y el Federico Mora: el miedo del personal al COVID-19 (y a cuestionar a sus jefes)”. Nómada GT (Abril 23, 2020). </w:t>
      </w:r>
      <w:r w:rsidRPr="009D593A">
        <w:rPr>
          <w:rFonts w:asciiTheme="minorHAnsi" w:hAnsiTheme="minorHAnsi" w:cstheme="minorHAnsi"/>
          <w:b/>
        </w:rPr>
        <w:t>ANEXO II</w:t>
      </w:r>
      <w:r w:rsidRPr="009D593A">
        <w:rPr>
          <w:rFonts w:asciiTheme="minorHAnsi" w:hAnsiTheme="minorHAnsi" w:cstheme="minorHAnsi"/>
          <w:bCs/>
        </w:rPr>
        <w:t>.</w:t>
      </w:r>
    </w:p>
    <w:p w14:paraId="1E177831" w14:textId="2D071A50" w:rsidR="00332722" w:rsidRPr="009D593A" w:rsidRDefault="00332722" w:rsidP="00332722">
      <w:pPr>
        <w:pStyle w:val="ListParagraph"/>
        <w:numPr>
          <w:ilvl w:val="0"/>
          <w:numId w:val="13"/>
        </w:numPr>
        <w:spacing w:after="0" w:line="240" w:lineRule="auto"/>
        <w:jc w:val="both"/>
        <w:rPr>
          <w:rFonts w:asciiTheme="minorHAnsi" w:hAnsiTheme="minorHAnsi" w:cstheme="minorHAnsi"/>
          <w:bCs/>
        </w:rPr>
      </w:pPr>
      <w:r w:rsidRPr="009D593A">
        <w:rPr>
          <w:rFonts w:asciiTheme="minorHAnsi" w:hAnsiTheme="minorHAnsi" w:cstheme="minorHAnsi"/>
          <w:bCs/>
        </w:rPr>
        <w:t xml:space="preserve">Nota de periódico. Lucero Sapalú, “Ministerio de Salud sin pronunciarse sobre supuesto incidente en el hospital del Parque La Industria”. El Periódico (Abril 24, 2020). </w:t>
      </w:r>
      <w:r w:rsidRPr="009D593A">
        <w:rPr>
          <w:rFonts w:asciiTheme="minorHAnsi" w:hAnsiTheme="minorHAnsi" w:cstheme="minorHAnsi"/>
          <w:b/>
        </w:rPr>
        <w:t>ANEXO III</w:t>
      </w:r>
      <w:r w:rsidRPr="009D593A">
        <w:rPr>
          <w:rFonts w:asciiTheme="minorHAnsi" w:hAnsiTheme="minorHAnsi" w:cstheme="minorHAnsi"/>
          <w:bCs/>
        </w:rPr>
        <w:t>.</w:t>
      </w:r>
    </w:p>
    <w:p w14:paraId="167D1CD0" w14:textId="704E1014" w:rsidR="00332722" w:rsidRPr="009D593A" w:rsidRDefault="00332722" w:rsidP="00332722">
      <w:pPr>
        <w:pStyle w:val="ListParagraph"/>
        <w:numPr>
          <w:ilvl w:val="0"/>
          <w:numId w:val="13"/>
        </w:numPr>
        <w:spacing w:after="0" w:line="240" w:lineRule="auto"/>
        <w:jc w:val="both"/>
        <w:rPr>
          <w:rFonts w:asciiTheme="minorHAnsi" w:hAnsiTheme="minorHAnsi" w:cstheme="minorHAnsi"/>
          <w:bCs/>
        </w:rPr>
      </w:pPr>
      <w:r w:rsidRPr="009D593A">
        <w:rPr>
          <w:rFonts w:asciiTheme="minorHAnsi" w:hAnsiTheme="minorHAnsi" w:cstheme="minorHAnsi"/>
          <w:bCs/>
        </w:rPr>
        <w:t xml:space="preserve">Nota de periódico. Hedy Quino Tzoc, “Les realizan prueba por COVID-19 a 51 personas en el Federico Mora”. La hora (Abril 24, 2020). </w:t>
      </w:r>
      <w:r w:rsidRPr="009D593A">
        <w:rPr>
          <w:rFonts w:asciiTheme="minorHAnsi" w:hAnsiTheme="minorHAnsi" w:cstheme="minorHAnsi"/>
          <w:b/>
        </w:rPr>
        <w:t>ANEXO IV</w:t>
      </w:r>
      <w:r w:rsidRPr="009D593A">
        <w:rPr>
          <w:rFonts w:asciiTheme="minorHAnsi" w:hAnsiTheme="minorHAnsi" w:cstheme="minorHAnsi"/>
          <w:bCs/>
        </w:rPr>
        <w:t>.</w:t>
      </w:r>
    </w:p>
    <w:p w14:paraId="44C23A60" w14:textId="654F9C0C" w:rsidR="00FC23E5" w:rsidRPr="009D593A" w:rsidRDefault="00FC23E5" w:rsidP="00FC23E5">
      <w:pPr>
        <w:pStyle w:val="ListParagraph"/>
        <w:numPr>
          <w:ilvl w:val="0"/>
          <w:numId w:val="13"/>
        </w:numPr>
        <w:spacing w:after="0" w:line="240" w:lineRule="auto"/>
        <w:jc w:val="both"/>
        <w:rPr>
          <w:rFonts w:asciiTheme="minorHAnsi" w:hAnsiTheme="minorHAnsi" w:cstheme="minorHAnsi"/>
          <w:bCs/>
        </w:rPr>
      </w:pPr>
      <w:r w:rsidRPr="009D593A">
        <w:rPr>
          <w:rFonts w:asciiTheme="minorHAnsi" w:hAnsiTheme="minorHAnsi" w:cstheme="minorHAnsi"/>
          <w:bCs/>
        </w:rPr>
        <w:t xml:space="preserve">Ley. Congreso de la República, “Ley de rescate económico a las familias por los efectos causados por el COVID-19”. (abril 8, 2020). </w:t>
      </w:r>
      <w:r w:rsidRPr="009D593A">
        <w:rPr>
          <w:rFonts w:asciiTheme="minorHAnsi" w:hAnsiTheme="minorHAnsi" w:cstheme="minorHAnsi"/>
          <w:b/>
        </w:rPr>
        <w:t>ANEXO V</w:t>
      </w:r>
      <w:r w:rsidRPr="009D593A">
        <w:rPr>
          <w:rFonts w:asciiTheme="minorHAnsi" w:hAnsiTheme="minorHAnsi" w:cstheme="minorHAnsi"/>
          <w:bCs/>
        </w:rPr>
        <w:t>.</w:t>
      </w:r>
    </w:p>
    <w:p w14:paraId="1ACC6E9B" w14:textId="1456FFB5" w:rsidR="007B6183" w:rsidRPr="009D593A" w:rsidRDefault="00332722" w:rsidP="00634642">
      <w:pPr>
        <w:pStyle w:val="ListParagraph"/>
        <w:numPr>
          <w:ilvl w:val="0"/>
          <w:numId w:val="13"/>
        </w:numPr>
        <w:spacing w:after="0" w:line="240" w:lineRule="auto"/>
        <w:jc w:val="both"/>
        <w:rPr>
          <w:rFonts w:asciiTheme="minorHAnsi" w:hAnsiTheme="minorHAnsi" w:cstheme="minorHAnsi"/>
          <w:bCs/>
        </w:rPr>
      </w:pPr>
      <w:r w:rsidRPr="009D593A">
        <w:rPr>
          <w:rFonts w:asciiTheme="minorHAnsi" w:hAnsiTheme="minorHAnsi" w:cstheme="minorHAnsi"/>
          <w:bCs/>
        </w:rPr>
        <w:t xml:space="preserve">Comunicado. Procuraduría de los Derechos Humanos (PDH), “VERIFICAN ESTRATEGIAS INSTITUCIONALES PARA EVITAR CONTAGIOS DE COVID 19 EN HOSPITAL FEDERICO MORA”. </w:t>
      </w:r>
      <w:r w:rsidR="00FC23E5" w:rsidRPr="009D593A">
        <w:rPr>
          <w:rFonts w:asciiTheme="minorHAnsi" w:hAnsiTheme="minorHAnsi" w:cstheme="minorHAnsi"/>
          <w:bCs/>
        </w:rPr>
        <w:t xml:space="preserve">(abril 23, 2020). </w:t>
      </w:r>
      <w:r w:rsidR="00FC23E5" w:rsidRPr="009D593A">
        <w:rPr>
          <w:rFonts w:asciiTheme="minorHAnsi" w:hAnsiTheme="minorHAnsi" w:cstheme="minorHAnsi"/>
          <w:b/>
        </w:rPr>
        <w:t>ANEXO VI</w:t>
      </w:r>
      <w:r w:rsidR="00FC23E5" w:rsidRPr="009D593A">
        <w:rPr>
          <w:rFonts w:asciiTheme="minorHAnsi" w:hAnsiTheme="minorHAnsi" w:cstheme="minorHAnsi"/>
          <w:bCs/>
        </w:rPr>
        <w:t>.</w:t>
      </w:r>
    </w:p>
    <w:p w14:paraId="3DDEC0C3" w14:textId="18ED21DF" w:rsidR="00332722" w:rsidRPr="009D593A" w:rsidRDefault="00332722" w:rsidP="00332722">
      <w:pPr>
        <w:pStyle w:val="ListParagraph"/>
        <w:numPr>
          <w:ilvl w:val="0"/>
          <w:numId w:val="13"/>
        </w:numPr>
        <w:spacing w:after="0" w:line="240" w:lineRule="auto"/>
        <w:jc w:val="both"/>
        <w:rPr>
          <w:rFonts w:asciiTheme="minorHAnsi" w:hAnsiTheme="minorHAnsi" w:cstheme="minorHAnsi"/>
          <w:bCs/>
        </w:rPr>
      </w:pPr>
      <w:r w:rsidRPr="009D593A">
        <w:rPr>
          <w:rFonts w:asciiTheme="minorHAnsi" w:hAnsiTheme="minorHAnsi" w:cstheme="minorHAnsi"/>
          <w:bCs/>
        </w:rPr>
        <w:t>Comunicado. Procuraduría de los Derechos Humanos (PDH),</w:t>
      </w:r>
      <w:r w:rsidRPr="009D593A">
        <w:rPr>
          <w:rFonts w:asciiTheme="minorHAnsi" w:eastAsiaTheme="minorHAnsi" w:hAnsiTheme="minorHAnsi" w:cstheme="minorHAnsi"/>
          <w:lang w:eastAsia="en-US"/>
        </w:rPr>
        <w:t xml:space="preserve"> </w:t>
      </w:r>
      <w:r w:rsidRPr="009D593A">
        <w:rPr>
          <w:rFonts w:asciiTheme="minorHAnsi" w:hAnsiTheme="minorHAnsi" w:cstheme="minorHAnsi"/>
          <w:bCs/>
        </w:rPr>
        <w:t>“VERIFICAN PROTOCOLO DE SEGURIDAD Y PREVENCIÓN EN HOSPITAL DE SALUD MENTAL FEDERICO MORA”</w:t>
      </w:r>
      <w:r w:rsidR="00FC23E5" w:rsidRPr="009D593A">
        <w:rPr>
          <w:rFonts w:asciiTheme="minorHAnsi" w:hAnsiTheme="minorHAnsi" w:cstheme="minorHAnsi"/>
          <w:bCs/>
        </w:rPr>
        <w:t>. (abril 23, 2020).</w:t>
      </w:r>
      <w:r w:rsidRPr="009D593A">
        <w:rPr>
          <w:rFonts w:asciiTheme="minorHAnsi" w:hAnsiTheme="minorHAnsi" w:cstheme="minorHAnsi"/>
          <w:bCs/>
        </w:rPr>
        <w:t xml:space="preserve"> </w:t>
      </w:r>
      <w:r w:rsidR="00F042D4" w:rsidRPr="009D593A">
        <w:rPr>
          <w:rFonts w:asciiTheme="minorHAnsi" w:hAnsiTheme="minorHAnsi" w:cstheme="minorHAnsi"/>
          <w:b/>
        </w:rPr>
        <w:t>ANEXO VII</w:t>
      </w:r>
      <w:r w:rsidR="00F042D4" w:rsidRPr="009D593A">
        <w:rPr>
          <w:rFonts w:asciiTheme="minorHAnsi" w:hAnsiTheme="minorHAnsi" w:cstheme="minorHAnsi"/>
          <w:bCs/>
        </w:rPr>
        <w:t>.</w:t>
      </w:r>
    </w:p>
    <w:p w14:paraId="0EBDEA25" w14:textId="27CB322D" w:rsidR="00332722" w:rsidRPr="009D593A" w:rsidRDefault="00332722" w:rsidP="00332722">
      <w:pPr>
        <w:pStyle w:val="ListParagraph"/>
        <w:numPr>
          <w:ilvl w:val="0"/>
          <w:numId w:val="13"/>
        </w:numPr>
        <w:spacing w:after="0" w:line="240" w:lineRule="auto"/>
        <w:jc w:val="both"/>
        <w:rPr>
          <w:rFonts w:asciiTheme="minorHAnsi" w:hAnsiTheme="minorHAnsi" w:cstheme="minorHAnsi"/>
          <w:bCs/>
        </w:rPr>
      </w:pPr>
      <w:r w:rsidRPr="009D593A">
        <w:rPr>
          <w:rFonts w:asciiTheme="minorHAnsi" w:hAnsiTheme="minorHAnsi" w:cstheme="minorHAnsi"/>
          <w:bCs/>
        </w:rPr>
        <w:t>Comunicado. Consejo Nacional para la Atención de las Personas con Discapacidad (CONADI)</w:t>
      </w:r>
      <w:r w:rsidR="00FC23E5" w:rsidRPr="009D593A">
        <w:rPr>
          <w:rFonts w:asciiTheme="minorHAnsi" w:hAnsiTheme="minorHAnsi" w:cstheme="minorHAnsi"/>
          <w:bCs/>
        </w:rPr>
        <w:t xml:space="preserve"> no. 16-2020</w:t>
      </w:r>
      <w:r w:rsidRPr="009D593A">
        <w:rPr>
          <w:rFonts w:asciiTheme="minorHAnsi" w:hAnsiTheme="minorHAnsi" w:cstheme="minorHAnsi"/>
          <w:bCs/>
        </w:rPr>
        <w:t xml:space="preserve">. </w:t>
      </w:r>
      <w:r w:rsidR="00FC23E5" w:rsidRPr="009D593A">
        <w:rPr>
          <w:rFonts w:asciiTheme="minorHAnsi" w:hAnsiTheme="minorHAnsi" w:cstheme="minorHAnsi"/>
          <w:bCs/>
        </w:rPr>
        <w:t xml:space="preserve">(abril 24, 2020). </w:t>
      </w:r>
      <w:r w:rsidR="00FC23E5" w:rsidRPr="009D593A">
        <w:rPr>
          <w:rFonts w:asciiTheme="minorHAnsi" w:hAnsiTheme="minorHAnsi" w:cstheme="minorHAnsi"/>
          <w:b/>
        </w:rPr>
        <w:t>ANEXO VIII</w:t>
      </w:r>
      <w:r w:rsidR="00FC23E5" w:rsidRPr="009D593A">
        <w:rPr>
          <w:rFonts w:asciiTheme="minorHAnsi" w:hAnsiTheme="minorHAnsi" w:cstheme="minorHAnsi"/>
          <w:bCs/>
        </w:rPr>
        <w:t>.</w:t>
      </w:r>
    </w:p>
    <w:p w14:paraId="3950BA52" w14:textId="4AA5885F" w:rsidR="00921AA7" w:rsidRPr="009D593A" w:rsidRDefault="00921AA7" w:rsidP="00332722">
      <w:pPr>
        <w:pStyle w:val="ListParagraph"/>
        <w:numPr>
          <w:ilvl w:val="0"/>
          <w:numId w:val="13"/>
        </w:numPr>
        <w:spacing w:after="0" w:line="240" w:lineRule="auto"/>
        <w:jc w:val="both"/>
        <w:rPr>
          <w:rFonts w:asciiTheme="minorHAnsi" w:hAnsiTheme="minorHAnsi" w:cstheme="minorHAnsi"/>
          <w:bCs/>
        </w:rPr>
      </w:pPr>
      <w:r w:rsidRPr="009D593A">
        <w:rPr>
          <w:rFonts w:asciiTheme="minorHAnsi" w:hAnsiTheme="minorHAnsi" w:cstheme="minorHAnsi"/>
          <w:bCs/>
        </w:rPr>
        <w:lastRenderedPageBreak/>
        <w:t xml:space="preserve">Carta. Dirigida a Hugo Monroy, Ministro de Salud. (abril 29, 2020). </w:t>
      </w:r>
      <w:r w:rsidR="00B52A67" w:rsidRPr="009D593A">
        <w:rPr>
          <w:rFonts w:asciiTheme="minorHAnsi" w:hAnsiTheme="minorHAnsi" w:cstheme="minorHAnsi"/>
          <w:b/>
        </w:rPr>
        <w:t>ANEXO IX</w:t>
      </w:r>
      <w:r w:rsidRPr="009D593A">
        <w:rPr>
          <w:rFonts w:asciiTheme="minorHAnsi" w:hAnsiTheme="minorHAnsi" w:cstheme="minorHAnsi"/>
          <w:bCs/>
        </w:rPr>
        <w:t>.</w:t>
      </w:r>
    </w:p>
    <w:p w14:paraId="283B60F1" w14:textId="77777777" w:rsidR="007B6183" w:rsidRPr="009D593A" w:rsidRDefault="007B6183" w:rsidP="00530D11">
      <w:pPr>
        <w:spacing w:after="0" w:line="240" w:lineRule="auto"/>
        <w:jc w:val="both"/>
        <w:rPr>
          <w:rFonts w:asciiTheme="minorHAnsi" w:hAnsiTheme="minorHAnsi" w:cstheme="minorHAnsi"/>
        </w:rPr>
      </w:pPr>
    </w:p>
    <w:p w14:paraId="77957067" w14:textId="3B060E8A" w:rsidR="00530D11" w:rsidRPr="009D593A" w:rsidRDefault="00530D11" w:rsidP="00530D11">
      <w:pPr>
        <w:spacing w:after="0" w:line="240" w:lineRule="auto"/>
        <w:jc w:val="both"/>
        <w:rPr>
          <w:rFonts w:asciiTheme="minorHAnsi" w:hAnsiTheme="minorHAnsi" w:cstheme="minorHAnsi"/>
        </w:rPr>
      </w:pPr>
    </w:p>
    <w:p w14:paraId="485C0D84" w14:textId="4199216D" w:rsidR="00530D11" w:rsidRPr="009D593A" w:rsidRDefault="00530D11" w:rsidP="00AB20FF">
      <w:pPr>
        <w:pStyle w:val="ListParagraph"/>
        <w:numPr>
          <w:ilvl w:val="0"/>
          <w:numId w:val="12"/>
        </w:numPr>
        <w:spacing w:after="0" w:line="240" w:lineRule="auto"/>
        <w:jc w:val="both"/>
        <w:rPr>
          <w:rFonts w:asciiTheme="minorHAnsi" w:hAnsiTheme="minorHAnsi" w:cstheme="minorHAnsi"/>
          <w:b/>
          <w:lang w:val="en-US"/>
        </w:rPr>
      </w:pPr>
      <w:r w:rsidRPr="009D593A">
        <w:rPr>
          <w:rFonts w:asciiTheme="minorHAnsi" w:hAnsiTheme="minorHAnsi" w:cstheme="minorHAnsi"/>
          <w:b/>
          <w:lang w:val="en-US"/>
        </w:rPr>
        <w:t>PETICIONES A LA CIDH</w:t>
      </w:r>
    </w:p>
    <w:p w14:paraId="726885FE" w14:textId="3B3C0EDF" w:rsidR="00530D11" w:rsidRPr="009D593A" w:rsidRDefault="00530D11" w:rsidP="00530D11">
      <w:pPr>
        <w:spacing w:after="0" w:line="240" w:lineRule="auto"/>
        <w:jc w:val="both"/>
        <w:rPr>
          <w:rFonts w:asciiTheme="minorHAnsi" w:hAnsiTheme="minorHAnsi" w:cstheme="minorHAnsi"/>
        </w:rPr>
      </w:pPr>
    </w:p>
    <w:p w14:paraId="3BBB7707" w14:textId="1079FE35" w:rsidR="00530D11" w:rsidRPr="009D593A" w:rsidRDefault="00530D11" w:rsidP="00530D11">
      <w:pPr>
        <w:spacing w:after="0" w:line="240" w:lineRule="auto"/>
        <w:jc w:val="both"/>
        <w:rPr>
          <w:rFonts w:asciiTheme="minorHAnsi" w:hAnsiTheme="minorHAnsi" w:cstheme="minorHAnsi"/>
          <w:bCs/>
        </w:rPr>
      </w:pPr>
      <w:r w:rsidRPr="009D593A">
        <w:rPr>
          <w:rFonts w:asciiTheme="minorHAnsi" w:hAnsiTheme="minorHAnsi" w:cstheme="minorHAnsi"/>
          <w:bCs/>
        </w:rPr>
        <w:t xml:space="preserve">Las y los pacientes que se encuentran detenidos en el </w:t>
      </w:r>
      <w:r w:rsidR="005D423B" w:rsidRPr="009D593A">
        <w:rPr>
          <w:rFonts w:asciiTheme="minorHAnsi" w:hAnsiTheme="minorHAnsi" w:cstheme="minorHAnsi"/>
          <w:bCs/>
        </w:rPr>
        <w:t>“FEDERICO MORA”</w:t>
      </w:r>
      <w:r w:rsidRPr="009D593A">
        <w:rPr>
          <w:rFonts w:asciiTheme="minorHAnsi" w:hAnsiTheme="minorHAnsi" w:cstheme="minorHAnsi"/>
          <w:bCs/>
        </w:rPr>
        <w:t xml:space="preserve"> se encuentran en un riesgo inminente de contraer el virus COVID-19 y de morir a causa del mismo. Por lo tanto, DRI y el Colectivo solicitan de manera respetuosa a esta Honorable Comisión que:</w:t>
      </w:r>
    </w:p>
    <w:p w14:paraId="0A1342E1" w14:textId="025786C5" w:rsidR="00530D11" w:rsidRPr="009D593A" w:rsidRDefault="00530D11" w:rsidP="00530D11">
      <w:pPr>
        <w:spacing w:after="0" w:line="240" w:lineRule="auto"/>
        <w:jc w:val="both"/>
        <w:rPr>
          <w:rFonts w:asciiTheme="minorHAnsi" w:hAnsiTheme="minorHAnsi" w:cstheme="minorHAnsi"/>
        </w:rPr>
      </w:pPr>
    </w:p>
    <w:p w14:paraId="2089AF4D" w14:textId="77777777" w:rsidR="00530D11" w:rsidRPr="009D593A" w:rsidRDefault="00530D11" w:rsidP="00530D11">
      <w:pPr>
        <w:spacing w:after="0" w:line="240" w:lineRule="auto"/>
        <w:jc w:val="both"/>
        <w:rPr>
          <w:rFonts w:asciiTheme="minorHAnsi" w:hAnsiTheme="minorHAnsi" w:cstheme="minorHAnsi"/>
        </w:rPr>
      </w:pPr>
      <w:r w:rsidRPr="009D593A">
        <w:rPr>
          <w:rFonts w:asciiTheme="minorHAnsi" w:hAnsiTheme="minorHAnsi" w:cstheme="minorHAnsi"/>
          <w:b/>
        </w:rPr>
        <w:t>PRIMERO.-</w:t>
      </w:r>
      <w:r w:rsidRPr="009D593A">
        <w:rPr>
          <w:rFonts w:asciiTheme="minorHAnsi" w:hAnsiTheme="minorHAnsi" w:cstheme="minorHAnsi"/>
        </w:rPr>
        <w:t xml:space="preserve"> Tenga por presentada esta solicitud de extensión de la medida cautelar MC-370-12.</w:t>
      </w:r>
    </w:p>
    <w:p w14:paraId="72D9D61B" w14:textId="18C65BCA" w:rsidR="00530D11" w:rsidRPr="009D593A" w:rsidRDefault="00530D11" w:rsidP="00530D11">
      <w:pPr>
        <w:spacing w:after="0" w:line="240" w:lineRule="auto"/>
        <w:jc w:val="both"/>
        <w:rPr>
          <w:rFonts w:asciiTheme="minorHAnsi" w:hAnsiTheme="minorHAnsi" w:cstheme="minorHAnsi"/>
        </w:rPr>
      </w:pPr>
    </w:p>
    <w:p w14:paraId="3ECDAB9B" w14:textId="77777777" w:rsidR="00530D11" w:rsidRPr="009D593A" w:rsidRDefault="00530D11" w:rsidP="00530D11">
      <w:pPr>
        <w:spacing w:after="0" w:line="240" w:lineRule="auto"/>
        <w:jc w:val="both"/>
        <w:rPr>
          <w:rFonts w:asciiTheme="minorHAnsi" w:hAnsiTheme="minorHAnsi" w:cstheme="minorHAnsi"/>
        </w:rPr>
      </w:pPr>
      <w:r w:rsidRPr="009D593A">
        <w:rPr>
          <w:rFonts w:asciiTheme="minorHAnsi" w:hAnsiTheme="minorHAnsi" w:cstheme="minorHAnsi"/>
          <w:b/>
        </w:rPr>
        <w:t xml:space="preserve">SEGUNDO.- </w:t>
      </w:r>
      <w:r w:rsidRPr="009D593A">
        <w:rPr>
          <w:rFonts w:asciiTheme="minorHAnsi" w:hAnsiTheme="minorHAnsi" w:cstheme="minorHAnsi"/>
        </w:rPr>
        <w:t>Otorgue la presente extensión en virtud del riesgo inminente de muerte que enfrentan las y los pacientes del “Federico Mora” como resultado de la propagación del virus denominado COVID-19 y solicite al Estado de Guatemala:</w:t>
      </w:r>
    </w:p>
    <w:p w14:paraId="0CBC0311" w14:textId="572C11BD" w:rsidR="00530D11" w:rsidRPr="009D593A" w:rsidRDefault="00530D11" w:rsidP="00530D11">
      <w:pPr>
        <w:spacing w:after="0" w:line="240" w:lineRule="auto"/>
        <w:jc w:val="both"/>
        <w:rPr>
          <w:rFonts w:asciiTheme="minorHAnsi" w:hAnsiTheme="minorHAnsi" w:cstheme="minorHAnsi"/>
        </w:rPr>
      </w:pPr>
    </w:p>
    <w:p w14:paraId="72F530FF" w14:textId="77777777" w:rsidR="0094475E" w:rsidRPr="009D593A" w:rsidRDefault="0094475E" w:rsidP="0094475E">
      <w:pPr>
        <w:pStyle w:val="ListParagraph"/>
        <w:spacing w:after="0" w:line="240" w:lineRule="auto"/>
        <w:contextualSpacing w:val="0"/>
        <w:jc w:val="both"/>
        <w:rPr>
          <w:rFonts w:asciiTheme="minorHAnsi" w:eastAsia="Times New Roman" w:hAnsiTheme="minorHAnsi" w:cstheme="minorHAnsi"/>
          <w:color w:val="000000" w:themeColor="text1"/>
          <w:shd w:val="clear" w:color="auto" w:fill="FFFFFF"/>
        </w:rPr>
      </w:pPr>
    </w:p>
    <w:p w14:paraId="4F43188A" w14:textId="1812E706" w:rsidR="00A121CB" w:rsidRPr="000C0393" w:rsidRDefault="00A121CB" w:rsidP="000C0393">
      <w:pPr>
        <w:pStyle w:val="ListParagraph"/>
        <w:numPr>
          <w:ilvl w:val="0"/>
          <w:numId w:val="8"/>
        </w:numPr>
        <w:spacing w:after="0" w:line="240" w:lineRule="auto"/>
        <w:contextualSpacing w:val="0"/>
        <w:jc w:val="both"/>
        <w:rPr>
          <w:rFonts w:asciiTheme="minorHAnsi" w:eastAsia="Times New Roman" w:hAnsiTheme="minorHAnsi" w:cstheme="minorHAnsi"/>
          <w:color w:val="000000" w:themeColor="text1"/>
          <w:shd w:val="clear" w:color="auto" w:fill="FFFFFF"/>
        </w:rPr>
      </w:pPr>
      <w:r w:rsidRPr="009D593A">
        <w:rPr>
          <w:rFonts w:asciiTheme="minorHAnsi" w:eastAsia="Times New Roman" w:hAnsiTheme="minorHAnsi" w:cstheme="minorHAnsi"/>
          <w:b/>
          <w:bCs/>
          <w:color w:val="000000" w:themeColor="text1"/>
          <w:shd w:val="clear" w:color="auto" w:fill="FFFFFF"/>
        </w:rPr>
        <w:t>No encerrar a nadie de manera involuntaria en el “Federico Mora”.</w:t>
      </w:r>
      <w:r w:rsidRPr="009D593A">
        <w:rPr>
          <w:rFonts w:asciiTheme="minorHAnsi" w:eastAsia="Times New Roman" w:hAnsiTheme="minorHAnsi" w:cstheme="minorHAnsi"/>
          <w:color w:val="000000" w:themeColor="text1"/>
          <w:shd w:val="clear" w:color="auto" w:fill="FFFFFF"/>
        </w:rPr>
        <w:t xml:space="preserve"> Cualquier persona que no esté procesada penalmente y que desee abandonar la institución debe poder hacerlo.</w:t>
      </w:r>
    </w:p>
    <w:p w14:paraId="5C0F168F" w14:textId="727DA06D" w:rsidR="00A121CB" w:rsidRPr="009D593A" w:rsidRDefault="00A121CB" w:rsidP="00530D11">
      <w:pPr>
        <w:pStyle w:val="ListParagraph"/>
        <w:numPr>
          <w:ilvl w:val="0"/>
          <w:numId w:val="8"/>
        </w:numPr>
        <w:spacing w:after="0" w:line="240" w:lineRule="auto"/>
        <w:contextualSpacing w:val="0"/>
        <w:jc w:val="both"/>
        <w:rPr>
          <w:rFonts w:asciiTheme="minorHAnsi" w:eastAsia="Times New Roman" w:hAnsiTheme="minorHAnsi" w:cstheme="minorHAnsi"/>
          <w:color w:val="000000" w:themeColor="text1"/>
          <w:shd w:val="clear" w:color="auto" w:fill="FFFFFF"/>
        </w:rPr>
      </w:pPr>
      <w:r w:rsidRPr="009D593A">
        <w:rPr>
          <w:rFonts w:asciiTheme="minorHAnsi" w:eastAsia="Times New Roman" w:hAnsiTheme="minorHAnsi" w:cstheme="minorHAnsi"/>
          <w:b/>
          <w:bCs/>
          <w:color w:val="000000" w:themeColor="text1"/>
          <w:shd w:val="clear" w:color="auto" w:fill="FFFFFF"/>
        </w:rPr>
        <w:t>Proporcionar de manera inmediata a cada persona que abandone la institución un lugar para vivir en la comunidad</w:t>
      </w:r>
      <w:r w:rsidRPr="009D593A">
        <w:rPr>
          <w:rFonts w:asciiTheme="minorHAnsi" w:eastAsia="Times New Roman" w:hAnsiTheme="minorHAnsi" w:cstheme="minorHAnsi"/>
          <w:color w:val="000000" w:themeColor="text1"/>
          <w:shd w:val="clear" w:color="auto" w:fill="FFFFFF"/>
        </w:rPr>
        <w:t xml:space="preserve"> donde esté segura y reciba el apoyo vital básico que necesita para cuidarse. Las personas deben recibir alimentos, atención médica y servicios de asistencia personal en el hogar necesarios para vivir de manera independiente.</w:t>
      </w:r>
    </w:p>
    <w:p w14:paraId="5C258CB8" w14:textId="51F658DF" w:rsidR="00A121CB" w:rsidRPr="000C0393" w:rsidRDefault="00A121CB" w:rsidP="000C0393">
      <w:pPr>
        <w:pStyle w:val="ListParagraph"/>
        <w:numPr>
          <w:ilvl w:val="0"/>
          <w:numId w:val="8"/>
        </w:numPr>
        <w:spacing w:after="0" w:line="240" w:lineRule="auto"/>
        <w:contextualSpacing w:val="0"/>
        <w:jc w:val="both"/>
        <w:rPr>
          <w:rFonts w:asciiTheme="minorHAnsi" w:eastAsia="Times New Roman" w:hAnsiTheme="minorHAnsi" w:cstheme="minorHAnsi"/>
          <w:color w:val="000000" w:themeColor="text1"/>
          <w:shd w:val="clear" w:color="auto" w:fill="FFFFFF"/>
        </w:rPr>
      </w:pPr>
      <w:r w:rsidRPr="009D593A">
        <w:rPr>
          <w:rFonts w:asciiTheme="minorHAnsi" w:eastAsia="Times New Roman" w:hAnsiTheme="minorHAnsi" w:cstheme="minorHAnsi"/>
          <w:b/>
          <w:bCs/>
          <w:color w:val="000000" w:themeColor="text1"/>
          <w:shd w:val="clear" w:color="auto" w:fill="FFFFFF"/>
        </w:rPr>
        <w:t>Establecer un plan de emergencia para crear servicios de apoyo</w:t>
      </w:r>
      <w:r w:rsidRPr="009D593A">
        <w:rPr>
          <w:rFonts w:asciiTheme="minorHAnsi" w:eastAsia="Times New Roman" w:hAnsiTheme="minorHAnsi" w:cstheme="minorHAnsi"/>
          <w:color w:val="000000" w:themeColor="text1"/>
          <w:shd w:val="clear" w:color="auto" w:fill="FFFFFF"/>
        </w:rPr>
        <w:t xml:space="preserve"> para toda la población de pacientes del “Federico Mora” para que puedan vivir de manera segura e independiente en la comunidad.</w:t>
      </w:r>
    </w:p>
    <w:p w14:paraId="2A65BE65" w14:textId="1DE1C785" w:rsidR="0094475E" w:rsidRPr="000C0393" w:rsidRDefault="00530D11" w:rsidP="000C0393">
      <w:pPr>
        <w:pStyle w:val="ListParagraph"/>
        <w:numPr>
          <w:ilvl w:val="0"/>
          <w:numId w:val="8"/>
        </w:numPr>
        <w:spacing w:after="0" w:line="240" w:lineRule="auto"/>
        <w:contextualSpacing w:val="0"/>
        <w:jc w:val="both"/>
        <w:rPr>
          <w:rFonts w:asciiTheme="minorHAnsi" w:eastAsia="Times New Roman" w:hAnsiTheme="minorHAnsi" w:cstheme="minorHAnsi"/>
          <w:color w:val="000000" w:themeColor="text1"/>
          <w:shd w:val="clear" w:color="auto" w:fill="FFFFFF"/>
        </w:rPr>
      </w:pPr>
      <w:r w:rsidRPr="009D593A">
        <w:rPr>
          <w:rFonts w:asciiTheme="minorHAnsi" w:eastAsia="Times New Roman" w:hAnsiTheme="minorHAnsi" w:cstheme="minorHAnsi"/>
          <w:b/>
          <w:bCs/>
          <w:color w:val="000000" w:themeColor="text1"/>
          <w:shd w:val="clear" w:color="auto" w:fill="FFFFFF"/>
        </w:rPr>
        <w:t>Garantizar el acceso inmediato a la atención médica</w:t>
      </w:r>
      <w:r w:rsidRPr="009D593A">
        <w:rPr>
          <w:rFonts w:asciiTheme="minorHAnsi" w:eastAsia="Times New Roman" w:hAnsiTheme="minorHAnsi" w:cstheme="minorHAnsi"/>
          <w:color w:val="000000" w:themeColor="text1"/>
          <w:shd w:val="clear" w:color="auto" w:fill="FFFFFF"/>
        </w:rPr>
        <w:t xml:space="preserve">. </w:t>
      </w:r>
      <w:r w:rsidRPr="009D593A">
        <w:rPr>
          <w:rFonts w:asciiTheme="minorHAnsi" w:hAnsiTheme="minorHAnsi" w:cstheme="minorHAnsi"/>
          <w:color w:val="000000" w:themeColor="text1"/>
        </w:rPr>
        <w:t>Esto debe incluir el aislamiento social, la realización de pruebas a la población institucionalizada y al personal, llevar a cabo una efectiva cuarentena, remover a residentes o al personal que dé positivo a la prueba, y tener acceso completo a los servicios médicos, los servicios de defensa y mecanismos de denuncia.</w:t>
      </w:r>
    </w:p>
    <w:p w14:paraId="5F34C2A5" w14:textId="77777777" w:rsidR="00530D11" w:rsidRPr="009D593A" w:rsidRDefault="00530D11" w:rsidP="00530D11">
      <w:pPr>
        <w:pStyle w:val="ListParagraph"/>
        <w:numPr>
          <w:ilvl w:val="0"/>
          <w:numId w:val="8"/>
        </w:numPr>
        <w:spacing w:after="0" w:line="240" w:lineRule="auto"/>
        <w:contextualSpacing w:val="0"/>
        <w:jc w:val="both"/>
        <w:rPr>
          <w:rFonts w:asciiTheme="minorHAnsi" w:eastAsia="Times New Roman" w:hAnsiTheme="minorHAnsi" w:cstheme="minorHAnsi"/>
          <w:color w:val="000000" w:themeColor="text1"/>
          <w:shd w:val="clear" w:color="auto" w:fill="FFFFFF"/>
        </w:rPr>
      </w:pPr>
      <w:r w:rsidRPr="009D593A">
        <w:rPr>
          <w:rFonts w:asciiTheme="minorHAnsi" w:hAnsiTheme="minorHAnsi" w:cstheme="minorHAnsi"/>
          <w:b/>
          <w:bCs/>
          <w:color w:val="000000" w:themeColor="text1"/>
          <w:lang w:val="es-ES"/>
        </w:rPr>
        <w:t>Proporcionar información accesible sobre seguridad, acceso a la atención médica, apoyos y servicios en la comunidad.</w:t>
      </w:r>
      <w:r w:rsidRPr="009D593A">
        <w:rPr>
          <w:rFonts w:asciiTheme="minorHAnsi" w:hAnsiTheme="minorHAnsi" w:cstheme="minorHAnsi"/>
          <w:color w:val="000000" w:themeColor="text1"/>
        </w:rPr>
        <w:t xml:space="preserve"> La Relatora Especial de sobre los Derechos de las Personas con Discapacidad de la ONU, Catalina Devandas,</w:t>
      </w:r>
      <w:r w:rsidRPr="009D593A">
        <w:rPr>
          <w:rFonts w:asciiTheme="minorHAnsi" w:hAnsiTheme="minorHAnsi" w:cstheme="minorHAnsi"/>
          <w:color w:val="000000" w:themeColor="text1"/>
          <w:lang w:val="es-ES"/>
        </w:rPr>
        <w:t xml:space="preserve"> señaló que:</w:t>
      </w:r>
    </w:p>
    <w:p w14:paraId="061C2D54" w14:textId="77777777" w:rsidR="00530D11" w:rsidRPr="009D593A" w:rsidRDefault="00530D11" w:rsidP="00530D11">
      <w:pPr>
        <w:pStyle w:val="ListParagraph"/>
        <w:spacing w:after="0" w:line="240" w:lineRule="auto"/>
        <w:contextualSpacing w:val="0"/>
        <w:jc w:val="both"/>
        <w:rPr>
          <w:rFonts w:asciiTheme="minorHAnsi" w:eastAsia="Times New Roman" w:hAnsiTheme="minorHAnsi" w:cstheme="minorHAnsi"/>
          <w:color w:val="000000" w:themeColor="text1"/>
          <w:shd w:val="clear" w:color="auto" w:fill="FFFFFF"/>
        </w:rPr>
      </w:pPr>
    </w:p>
    <w:p w14:paraId="0203ACE3" w14:textId="33BD179F" w:rsidR="00530D11" w:rsidRPr="009D593A" w:rsidRDefault="00530D11" w:rsidP="00530D11">
      <w:pPr>
        <w:pStyle w:val="ListParagraph"/>
        <w:spacing w:after="0" w:line="240" w:lineRule="auto"/>
        <w:ind w:left="1134" w:right="1134"/>
        <w:contextualSpacing w:val="0"/>
        <w:jc w:val="both"/>
        <w:rPr>
          <w:rFonts w:asciiTheme="minorHAnsi" w:hAnsiTheme="minorHAnsi" w:cstheme="minorHAnsi"/>
          <w:color w:val="000000" w:themeColor="text1"/>
          <w:vertAlign w:val="superscript"/>
        </w:rPr>
      </w:pPr>
      <w:r w:rsidRPr="009D593A">
        <w:rPr>
          <w:rFonts w:asciiTheme="minorHAnsi" w:hAnsiTheme="minorHAnsi" w:cstheme="minorHAnsi"/>
          <w:color w:val="000000" w:themeColor="text1"/>
          <w:lang w:val="es-ES"/>
        </w:rPr>
        <w:t>“</w:t>
      </w:r>
      <w:r w:rsidR="004B165C" w:rsidRPr="009D593A">
        <w:rPr>
          <w:rFonts w:asciiTheme="minorHAnsi" w:hAnsiTheme="minorHAnsi" w:cstheme="minorHAnsi"/>
          <w:color w:val="000000" w:themeColor="text1"/>
        </w:rPr>
        <w:t>[l]</w:t>
      </w:r>
      <w:r w:rsidRPr="009D593A">
        <w:rPr>
          <w:rFonts w:asciiTheme="minorHAnsi" w:hAnsiTheme="minorHAnsi" w:cstheme="minorHAnsi"/>
          <w:color w:val="000000" w:themeColor="text1"/>
        </w:rPr>
        <w:t>as campañas de información pública y la información proporcionada por las autoridades nacionales de salud debe estar disponible en lengua de señas y en modos, medios y formatos accesibles, incluida la tecnología digital, los subtítulos, los servicios de relevo, los mensajes de texto, la lectura fácil y el lenguaje sencillo.”</w:t>
      </w:r>
      <w:r w:rsidRPr="009D593A">
        <w:rPr>
          <w:rFonts w:asciiTheme="minorHAnsi" w:hAnsiTheme="minorHAnsi" w:cstheme="minorHAnsi"/>
          <w:color w:val="000000" w:themeColor="text1"/>
          <w:vertAlign w:val="superscript"/>
        </w:rPr>
        <w:footnoteReference w:id="64"/>
      </w:r>
    </w:p>
    <w:p w14:paraId="620C2ADF" w14:textId="77777777" w:rsidR="00530D11" w:rsidRPr="009D593A" w:rsidRDefault="00530D11" w:rsidP="00530D11">
      <w:pPr>
        <w:pStyle w:val="ListParagraph"/>
        <w:spacing w:after="0" w:line="240" w:lineRule="auto"/>
        <w:contextualSpacing w:val="0"/>
        <w:jc w:val="both"/>
        <w:rPr>
          <w:rFonts w:asciiTheme="minorHAnsi" w:hAnsiTheme="minorHAnsi" w:cstheme="minorHAnsi"/>
          <w:color w:val="000000" w:themeColor="text1"/>
          <w:vertAlign w:val="superscript"/>
        </w:rPr>
      </w:pPr>
    </w:p>
    <w:p w14:paraId="07D5A5E1" w14:textId="3AC7F297" w:rsidR="00530D11" w:rsidRPr="009D593A" w:rsidRDefault="00530D11" w:rsidP="00530D11">
      <w:pPr>
        <w:pStyle w:val="ListParagraph"/>
        <w:spacing w:after="0" w:line="240" w:lineRule="auto"/>
        <w:contextualSpacing w:val="0"/>
        <w:jc w:val="both"/>
        <w:rPr>
          <w:rFonts w:asciiTheme="minorHAnsi" w:hAnsiTheme="minorHAnsi" w:cstheme="minorHAnsi"/>
          <w:color w:val="000000" w:themeColor="text1"/>
          <w:lang w:val="es-ES"/>
        </w:rPr>
      </w:pPr>
      <w:r w:rsidRPr="009D593A">
        <w:rPr>
          <w:rFonts w:asciiTheme="minorHAnsi" w:hAnsiTheme="minorHAnsi" w:cstheme="minorHAnsi"/>
          <w:color w:val="000000" w:themeColor="text1"/>
          <w:lang w:val="es-ES"/>
        </w:rPr>
        <w:t>El apoyo individual y de defensa para obtener protección, atención y servicios de apoyo, también es esencial.</w:t>
      </w:r>
    </w:p>
    <w:p w14:paraId="23B25E8D" w14:textId="77777777" w:rsidR="00C81898" w:rsidRPr="009D593A" w:rsidRDefault="00C81898" w:rsidP="00C81898">
      <w:pPr>
        <w:spacing w:after="0" w:line="240" w:lineRule="auto"/>
        <w:jc w:val="both"/>
        <w:rPr>
          <w:rFonts w:asciiTheme="minorHAnsi" w:hAnsiTheme="minorHAnsi" w:cstheme="minorHAnsi"/>
          <w:color w:val="000000" w:themeColor="text1"/>
          <w:lang w:val="es-ES"/>
        </w:rPr>
      </w:pPr>
    </w:p>
    <w:p w14:paraId="4E489830" w14:textId="55E3F0F6" w:rsidR="00530D11" w:rsidRPr="009D593A" w:rsidRDefault="00530D11" w:rsidP="00530D11">
      <w:pPr>
        <w:pStyle w:val="ListParagraph"/>
        <w:numPr>
          <w:ilvl w:val="0"/>
          <w:numId w:val="8"/>
        </w:numPr>
        <w:spacing w:after="0" w:line="240" w:lineRule="auto"/>
        <w:contextualSpacing w:val="0"/>
        <w:jc w:val="both"/>
        <w:rPr>
          <w:rFonts w:asciiTheme="minorHAnsi" w:hAnsiTheme="minorHAnsi" w:cstheme="minorHAnsi"/>
          <w:color w:val="000000" w:themeColor="text1"/>
        </w:rPr>
      </w:pPr>
      <w:r w:rsidRPr="009D593A">
        <w:rPr>
          <w:rFonts w:asciiTheme="minorHAnsi" w:hAnsiTheme="minorHAnsi" w:cstheme="minorHAnsi"/>
          <w:b/>
          <w:bCs/>
          <w:color w:val="000000" w:themeColor="text1"/>
        </w:rPr>
        <w:t xml:space="preserve">Incluir a las peticionarias, a las personas con discapacidad </w:t>
      </w:r>
      <w:r w:rsidRPr="009D593A">
        <w:rPr>
          <w:rFonts w:asciiTheme="minorHAnsi" w:hAnsiTheme="minorHAnsi" w:cstheme="minorHAnsi"/>
          <w:color w:val="000000" w:themeColor="text1"/>
        </w:rPr>
        <w:t xml:space="preserve">y a las organizaciones que las representan </w:t>
      </w:r>
      <w:r w:rsidRPr="009D593A">
        <w:rPr>
          <w:rFonts w:asciiTheme="minorHAnsi" w:hAnsiTheme="minorHAnsi" w:cstheme="minorHAnsi"/>
          <w:color w:val="000000" w:themeColor="text1"/>
          <w:lang w:val="es-ES"/>
        </w:rPr>
        <w:t>en todos los aspectos de la planeación e implementación de protección de la emergencia, atención médica y programas de apoyo.</w:t>
      </w:r>
    </w:p>
    <w:p w14:paraId="249FFA51" w14:textId="77777777" w:rsidR="00C81898" w:rsidRPr="009D593A" w:rsidRDefault="00C81898" w:rsidP="00C81898">
      <w:pPr>
        <w:spacing w:after="0" w:line="240" w:lineRule="auto"/>
        <w:ind w:left="360"/>
        <w:jc w:val="both"/>
        <w:rPr>
          <w:rFonts w:asciiTheme="minorHAnsi" w:hAnsiTheme="minorHAnsi" w:cstheme="minorHAnsi"/>
          <w:color w:val="000000" w:themeColor="text1"/>
        </w:rPr>
      </w:pPr>
    </w:p>
    <w:p w14:paraId="78667CFA" w14:textId="664D4714" w:rsidR="00C51734" w:rsidRPr="009D593A" w:rsidRDefault="00530D11" w:rsidP="00A121CB">
      <w:pPr>
        <w:pStyle w:val="ListParagraph"/>
        <w:numPr>
          <w:ilvl w:val="0"/>
          <w:numId w:val="8"/>
        </w:numPr>
        <w:spacing w:after="0" w:line="240" w:lineRule="auto"/>
        <w:contextualSpacing w:val="0"/>
        <w:jc w:val="both"/>
        <w:rPr>
          <w:rFonts w:asciiTheme="minorHAnsi" w:hAnsiTheme="minorHAnsi" w:cstheme="minorHAnsi"/>
          <w:color w:val="000000" w:themeColor="text1"/>
        </w:rPr>
      </w:pPr>
      <w:r w:rsidRPr="009D593A">
        <w:rPr>
          <w:rFonts w:asciiTheme="minorHAnsi" w:hAnsiTheme="minorHAnsi" w:cstheme="minorHAnsi"/>
          <w:b/>
          <w:bCs/>
          <w:color w:val="000000" w:themeColor="text1"/>
        </w:rPr>
        <w:t xml:space="preserve">Promover los medios de defensa. Garantizar la supervisión independiente inmediata de la situación en el hospital. </w:t>
      </w:r>
      <w:r w:rsidRPr="009D593A">
        <w:rPr>
          <w:rFonts w:asciiTheme="minorHAnsi" w:hAnsiTheme="minorHAnsi" w:cstheme="minorHAnsi"/>
          <w:color w:val="000000" w:themeColor="text1"/>
        </w:rPr>
        <w:t>La observación presencial por parte de autoridades independientes debe, en la medida de lo posible, complementarse con medios como cámaras de video, buzón de quejas, teléfonos y mecanismos de denuncias en línea.</w:t>
      </w:r>
    </w:p>
    <w:sectPr w:rsidR="00C51734" w:rsidRPr="009D593A">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60FDD" w14:textId="77777777" w:rsidR="0043303F" w:rsidRDefault="0043303F" w:rsidP="00473E79">
      <w:pPr>
        <w:spacing w:after="0" w:line="240" w:lineRule="auto"/>
      </w:pPr>
      <w:r>
        <w:separator/>
      </w:r>
    </w:p>
  </w:endnote>
  <w:endnote w:type="continuationSeparator" w:id="0">
    <w:p w14:paraId="796A859B" w14:textId="77777777" w:rsidR="0043303F" w:rsidRDefault="0043303F" w:rsidP="00473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687889"/>
      <w:docPartObj>
        <w:docPartGallery w:val="Page Numbers (Bottom of Page)"/>
        <w:docPartUnique/>
      </w:docPartObj>
    </w:sdtPr>
    <w:sdtContent>
      <w:p w14:paraId="7DA8AC6C" w14:textId="4AAD2102" w:rsidR="00634642" w:rsidRDefault="00634642">
        <w:pPr>
          <w:pStyle w:val="Footer"/>
          <w:jc w:val="right"/>
        </w:pPr>
        <w:r>
          <w:fldChar w:fldCharType="begin"/>
        </w:r>
        <w:r>
          <w:instrText>PAGE   \* MERGEFORMAT</w:instrText>
        </w:r>
        <w:r>
          <w:fldChar w:fldCharType="separate"/>
        </w:r>
        <w:r>
          <w:rPr>
            <w:lang w:val="es-ES"/>
          </w:rPr>
          <w:t>2</w:t>
        </w:r>
        <w:r>
          <w:fldChar w:fldCharType="end"/>
        </w:r>
      </w:p>
    </w:sdtContent>
  </w:sdt>
  <w:p w14:paraId="6399AAE8" w14:textId="77777777" w:rsidR="00634642" w:rsidRDefault="00634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F0FF" w14:textId="77777777" w:rsidR="0043303F" w:rsidRDefault="0043303F" w:rsidP="00473E79">
      <w:pPr>
        <w:spacing w:after="0" w:line="240" w:lineRule="auto"/>
      </w:pPr>
      <w:r>
        <w:separator/>
      </w:r>
    </w:p>
  </w:footnote>
  <w:footnote w:type="continuationSeparator" w:id="0">
    <w:p w14:paraId="5BF102EA" w14:textId="77777777" w:rsidR="0043303F" w:rsidRDefault="0043303F" w:rsidP="00473E79">
      <w:pPr>
        <w:spacing w:after="0" w:line="240" w:lineRule="auto"/>
      </w:pPr>
      <w:r>
        <w:continuationSeparator/>
      </w:r>
    </w:p>
  </w:footnote>
  <w:footnote w:id="1">
    <w:p w14:paraId="169935AE" w14:textId="77777777" w:rsidR="00634642" w:rsidRPr="002F0CBB" w:rsidRDefault="00634642" w:rsidP="002F0CBB">
      <w:pPr>
        <w:pStyle w:val="FootnoteText"/>
        <w:jc w:val="both"/>
        <w:rPr>
          <w:rFonts w:ascii="Cambria" w:hAnsi="Cambria" w:cstheme="minorHAnsi"/>
          <w:sz w:val="18"/>
          <w:szCs w:val="18"/>
        </w:rPr>
      </w:pPr>
      <w:r w:rsidRPr="002F0CBB">
        <w:rPr>
          <w:rStyle w:val="FootnoteReference"/>
          <w:rFonts w:ascii="Cambria" w:hAnsi="Cambria" w:cstheme="minorHAnsi"/>
          <w:sz w:val="18"/>
          <w:szCs w:val="18"/>
        </w:rPr>
        <w:footnoteRef/>
      </w:r>
      <w:r w:rsidRPr="002F0CBB">
        <w:rPr>
          <w:rFonts w:ascii="Cambria" w:hAnsi="Cambria" w:cstheme="minorHAnsi"/>
          <w:sz w:val="18"/>
          <w:szCs w:val="18"/>
          <w:lang w:val="en-US"/>
        </w:rPr>
        <w:t xml:space="preserve"> ONU, “COVID-19 AND THE RIGHTS OF PERSONS WITH DISABILITIES: GUIDANCE”, </w:t>
      </w:r>
      <w:proofErr w:type="spellStart"/>
      <w:r w:rsidRPr="002F0CBB">
        <w:rPr>
          <w:rFonts w:ascii="Cambria" w:hAnsi="Cambria" w:cstheme="minorHAnsi"/>
          <w:sz w:val="18"/>
          <w:szCs w:val="18"/>
          <w:lang w:val="en-US"/>
        </w:rPr>
        <w:t>pág</w:t>
      </w:r>
      <w:proofErr w:type="spellEnd"/>
      <w:r w:rsidRPr="002F0CBB">
        <w:rPr>
          <w:rFonts w:ascii="Cambria" w:hAnsi="Cambria" w:cstheme="minorHAnsi"/>
          <w:sz w:val="18"/>
          <w:szCs w:val="18"/>
          <w:lang w:val="en-US"/>
        </w:rPr>
        <w:t xml:space="preserve">. 3. </w:t>
      </w:r>
      <w:r w:rsidRPr="002F0CBB">
        <w:rPr>
          <w:rFonts w:ascii="Cambria" w:hAnsi="Cambria" w:cstheme="minorHAnsi"/>
          <w:sz w:val="18"/>
          <w:szCs w:val="18"/>
        </w:rPr>
        <w:t xml:space="preserve">Disponible en:  </w:t>
      </w:r>
      <w:r w:rsidR="00000000">
        <w:fldChar w:fldCharType="begin"/>
      </w:r>
      <w:r w:rsidR="00000000">
        <w:instrText>HYPERLINK "https://www.ohchr.org/Documents/Issues/Disability/COVID-19_and_The_Rights_of_Persons_with_Disabilities.pdf"</w:instrText>
      </w:r>
      <w:r w:rsidR="00000000">
        <w:fldChar w:fldCharType="separate"/>
      </w:r>
      <w:r w:rsidRPr="002F0CBB">
        <w:rPr>
          <w:rStyle w:val="Hyperlink"/>
          <w:rFonts w:ascii="Cambria" w:hAnsi="Cambria" w:cstheme="minorHAnsi"/>
          <w:sz w:val="18"/>
          <w:szCs w:val="18"/>
        </w:rPr>
        <w:t>https://www.ohchr.org/Documents/Issues/Disability/COVID-19_and_The_Rights_of_Persons_with_Disabilities.pdf</w:t>
      </w:r>
      <w:r w:rsidR="00000000">
        <w:rPr>
          <w:rStyle w:val="Hyperlink"/>
          <w:rFonts w:ascii="Cambria" w:hAnsi="Cambria" w:cstheme="minorHAnsi"/>
          <w:sz w:val="18"/>
          <w:szCs w:val="18"/>
        </w:rPr>
        <w:fldChar w:fldCharType="end"/>
      </w:r>
      <w:r w:rsidRPr="002F0CBB">
        <w:rPr>
          <w:rFonts w:ascii="Cambria" w:hAnsi="Cambria" w:cstheme="minorHAnsi"/>
          <w:sz w:val="18"/>
          <w:szCs w:val="18"/>
        </w:rPr>
        <w:t>. (Traducción propia)</w:t>
      </w:r>
    </w:p>
  </w:footnote>
  <w:footnote w:id="2">
    <w:p w14:paraId="46E538CE" w14:textId="77777777"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OMS, “Preguntas y respuestas sobre la enfermedad por coronavirus (COVID-19)”. Disponible en: </w:t>
      </w:r>
      <w:r w:rsidR="00000000">
        <w:fldChar w:fldCharType="begin"/>
      </w:r>
      <w:r w:rsidR="00000000">
        <w:instrText>HYPERLINK "https://www.who.int/es/emergencies/diseases/novel-coronavirus-2019/advice-for-public/q-a-coronaviruses" \h</w:instrText>
      </w:r>
      <w:r w:rsidR="00000000">
        <w:fldChar w:fldCharType="separate"/>
      </w:r>
      <w:r w:rsidRPr="002F0CBB">
        <w:rPr>
          <w:rFonts w:ascii="Cambria" w:hAnsi="Cambria" w:cstheme="minorHAnsi"/>
          <w:color w:val="1155CC"/>
          <w:sz w:val="18"/>
          <w:szCs w:val="18"/>
          <w:u w:val="single"/>
        </w:rPr>
        <w:t>https://www.who.int/es/emergencies/diseases/novel-coronavirus-2019/advice-for-public/q-a-coronaviruses</w:t>
      </w:r>
      <w:r w:rsidR="00000000">
        <w:rPr>
          <w:rFonts w:ascii="Cambria" w:hAnsi="Cambria" w:cstheme="minorHAnsi"/>
          <w:color w:val="1155CC"/>
          <w:sz w:val="18"/>
          <w:szCs w:val="18"/>
          <w:u w:val="single"/>
        </w:rPr>
        <w:fldChar w:fldCharType="end"/>
      </w:r>
    </w:p>
  </w:footnote>
  <w:footnote w:id="3">
    <w:p w14:paraId="62C10D87" w14:textId="77777777"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OMS, “Consideraciones relativas a la discapacidad durante el brote de COVID-19”, pág. 1. Disponible en: </w:t>
      </w:r>
      <w:r w:rsidR="00000000">
        <w:fldChar w:fldCharType="begin"/>
      </w:r>
      <w:r w:rsidR="00000000">
        <w:instrText>HYPERLINK "https://www.who.int/docs/default-source/documents/disability/spanish-covid-19-disability-briefing.pdf?sfvrsn=30d726b1_2"</w:instrText>
      </w:r>
      <w:r w:rsidR="00000000">
        <w:fldChar w:fldCharType="separate"/>
      </w:r>
      <w:r w:rsidRPr="002F0CBB">
        <w:rPr>
          <w:rStyle w:val="Hyperlink"/>
          <w:rFonts w:ascii="Cambria" w:hAnsi="Cambria" w:cstheme="minorHAnsi"/>
          <w:sz w:val="18"/>
          <w:szCs w:val="18"/>
        </w:rPr>
        <w:t>https://www.who.int/docs/default-source/documents/disability/spanish-covid-19-disability-briefing.pdf?sfvrsn=30d726b1_2</w:t>
      </w:r>
      <w:r w:rsidR="00000000">
        <w:rPr>
          <w:rStyle w:val="Hyperlink"/>
          <w:rFonts w:ascii="Cambria" w:hAnsi="Cambria" w:cstheme="minorHAnsi"/>
          <w:sz w:val="18"/>
          <w:szCs w:val="18"/>
        </w:rPr>
        <w:fldChar w:fldCharType="end"/>
      </w:r>
      <w:r w:rsidRPr="002F0CBB">
        <w:rPr>
          <w:rFonts w:ascii="Cambria" w:hAnsi="Cambria" w:cstheme="minorHAnsi"/>
          <w:sz w:val="18"/>
          <w:szCs w:val="18"/>
        </w:rPr>
        <w:t>.</w:t>
      </w:r>
    </w:p>
  </w:footnote>
  <w:footnote w:id="4">
    <w:p w14:paraId="14ED0516" w14:textId="77777777"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Noticias ONU, “Las personas con discapacidad, en riesgo por el coronavirus”. Disponible en: </w:t>
      </w:r>
      <w:r w:rsidR="00000000">
        <w:fldChar w:fldCharType="begin"/>
      </w:r>
      <w:r w:rsidR="00000000">
        <w:instrText>HYPERLINK "https://news.un.org/es/story/2020/03/1471282"</w:instrText>
      </w:r>
      <w:r w:rsidR="00000000">
        <w:fldChar w:fldCharType="separate"/>
      </w:r>
      <w:r w:rsidRPr="002F0CBB">
        <w:rPr>
          <w:rStyle w:val="Hyperlink"/>
          <w:rFonts w:ascii="Cambria" w:hAnsi="Cambria" w:cstheme="minorHAnsi"/>
          <w:sz w:val="18"/>
          <w:szCs w:val="18"/>
        </w:rPr>
        <w:t>https://news.un.org/es/story/2020/03/1471282</w:t>
      </w:r>
      <w:r w:rsidR="00000000">
        <w:rPr>
          <w:rStyle w:val="Hyperlink"/>
          <w:rFonts w:ascii="Cambria" w:hAnsi="Cambria" w:cstheme="minorHAnsi"/>
          <w:sz w:val="18"/>
          <w:szCs w:val="18"/>
        </w:rPr>
        <w:fldChar w:fldCharType="end"/>
      </w:r>
      <w:r w:rsidRPr="002F0CBB">
        <w:rPr>
          <w:rFonts w:ascii="Cambria" w:hAnsi="Cambria" w:cstheme="minorHAnsi"/>
          <w:sz w:val="18"/>
          <w:szCs w:val="18"/>
        </w:rPr>
        <w:t>.</w:t>
      </w:r>
    </w:p>
  </w:footnote>
  <w:footnote w:id="5">
    <w:p w14:paraId="53907514" w14:textId="77777777"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CIDH, “En el contexto de la pandemia COVID-19, la CIDH llama a los Estados a garantizar los derechos de las personas con discapacidad”. Disponible en: </w:t>
      </w:r>
      <w:r w:rsidR="00000000">
        <w:fldChar w:fldCharType="begin"/>
      </w:r>
      <w:r w:rsidR="00000000">
        <w:instrText>HYPERLINK "http://www.oas.org/es/cidh/prensa/comunicados/2020/071.asp"</w:instrText>
      </w:r>
      <w:r w:rsidR="00000000">
        <w:fldChar w:fldCharType="separate"/>
      </w:r>
      <w:r w:rsidRPr="002F0CBB">
        <w:rPr>
          <w:rStyle w:val="Hyperlink"/>
          <w:rFonts w:ascii="Cambria" w:hAnsi="Cambria" w:cstheme="minorHAnsi"/>
          <w:sz w:val="18"/>
          <w:szCs w:val="18"/>
        </w:rPr>
        <w:t>http://www.oas.org/es/cidh/prensa/comunicados/2020/071.asp</w:t>
      </w:r>
      <w:r w:rsidR="00000000">
        <w:rPr>
          <w:rStyle w:val="Hyperlink"/>
          <w:rFonts w:ascii="Cambria" w:hAnsi="Cambria" w:cstheme="minorHAnsi"/>
          <w:sz w:val="18"/>
          <w:szCs w:val="18"/>
        </w:rPr>
        <w:fldChar w:fldCharType="end"/>
      </w:r>
      <w:r w:rsidRPr="002F0CBB">
        <w:rPr>
          <w:rFonts w:ascii="Cambria" w:hAnsi="Cambria" w:cstheme="minorHAnsi"/>
          <w:sz w:val="18"/>
          <w:szCs w:val="18"/>
        </w:rPr>
        <w:t xml:space="preserve">. </w:t>
      </w:r>
      <w:r w:rsidRPr="002F0CBB">
        <w:rPr>
          <w:rFonts w:ascii="Cambria" w:hAnsi="Cambria" w:cstheme="minorHAnsi"/>
          <w:i/>
          <w:iCs/>
          <w:sz w:val="18"/>
          <w:szCs w:val="18"/>
        </w:rPr>
        <w:t>Véase también</w:t>
      </w:r>
      <w:r w:rsidRPr="002F0CBB">
        <w:rPr>
          <w:rFonts w:ascii="Cambria" w:hAnsi="Cambria" w:cstheme="minorHAnsi"/>
          <w:sz w:val="18"/>
          <w:szCs w:val="18"/>
        </w:rPr>
        <w:t>, CIDH,</w:t>
      </w:r>
      <w:r w:rsidR="00000000">
        <w:fldChar w:fldCharType="begin"/>
      </w:r>
      <w:r w:rsidR="00000000">
        <w:instrText>HYPERLINK "http://www.oas.org/es/cidh/decisiones/pdf/Resolucion-1-20-es.pdf" \h</w:instrText>
      </w:r>
      <w:r w:rsidR="00000000">
        <w:fldChar w:fldCharType="separate"/>
      </w:r>
      <w:r w:rsidRPr="002F0CBB">
        <w:rPr>
          <w:rFonts w:ascii="Cambria" w:hAnsi="Cambria" w:cstheme="minorHAnsi"/>
          <w:sz w:val="18"/>
          <w:szCs w:val="18"/>
        </w:rPr>
        <w:t xml:space="preserve"> </w:t>
      </w:r>
      <w:r w:rsidR="00000000">
        <w:rPr>
          <w:rFonts w:ascii="Cambria" w:hAnsi="Cambria" w:cstheme="minorHAnsi"/>
          <w:sz w:val="18"/>
          <w:szCs w:val="18"/>
        </w:rPr>
        <w:fldChar w:fldCharType="end"/>
      </w:r>
      <w:r w:rsidRPr="002F0CBB">
        <w:rPr>
          <w:rFonts w:ascii="Cambria" w:hAnsi="Cambria" w:cstheme="minorHAnsi"/>
          <w:sz w:val="18"/>
          <w:szCs w:val="18"/>
        </w:rPr>
        <w:t xml:space="preserve">Pandemia y Derechos Humanos en las Américas, pág. 7. Disponible en: </w:t>
      </w:r>
      <w:r w:rsidR="00000000">
        <w:fldChar w:fldCharType="begin"/>
      </w:r>
      <w:r w:rsidR="00000000">
        <w:instrText>HYPERLINK "http://www.oas.org/es/cidh/decisiones/pdf/Resolucion-1-20-es.pdf"</w:instrText>
      </w:r>
      <w:r w:rsidR="00000000">
        <w:fldChar w:fldCharType="separate"/>
      </w:r>
      <w:r w:rsidRPr="002F0CBB">
        <w:rPr>
          <w:rStyle w:val="Hyperlink"/>
          <w:rFonts w:ascii="Cambria" w:hAnsi="Cambria" w:cstheme="minorHAnsi"/>
          <w:sz w:val="18"/>
          <w:szCs w:val="18"/>
        </w:rPr>
        <w:t>http://www.oas.org/es/cidh/decisiones/pdf/Resolucion-1-20-es.pdf</w:t>
      </w:r>
      <w:r w:rsidR="00000000">
        <w:rPr>
          <w:rStyle w:val="Hyperlink"/>
          <w:rFonts w:ascii="Cambria" w:hAnsi="Cambria" w:cstheme="minorHAnsi"/>
          <w:sz w:val="18"/>
          <w:szCs w:val="18"/>
        </w:rPr>
        <w:fldChar w:fldCharType="end"/>
      </w:r>
      <w:r w:rsidRPr="002F0CBB">
        <w:rPr>
          <w:rFonts w:ascii="Cambria" w:hAnsi="Cambria" w:cstheme="minorHAnsi"/>
          <w:sz w:val="18"/>
          <w:szCs w:val="18"/>
        </w:rPr>
        <w:t>.</w:t>
      </w:r>
    </w:p>
  </w:footnote>
  <w:footnote w:id="6">
    <w:p w14:paraId="11C9DDF2" w14:textId="4F76CD12"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CIDH, </w:t>
      </w:r>
      <w:r w:rsidRPr="002F0CBB">
        <w:rPr>
          <w:rFonts w:ascii="Cambria" w:hAnsi="Cambria" w:cstheme="minorHAnsi"/>
          <w:i/>
          <w:iCs/>
          <w:sz w:val="18"/>
          <w:szCs w:val="18"/>
        </w:rPr>
        <w:t>supra</w:t>
      </w:r>
      <w:r w:rsidRPr="002F0CBB">
        <w:rPr>
          <w:rFonts w:ascii="Cambria" w:hAnsi="Cambria" w:cstheme="minorHAnsi"/>
          <w:sz w:val="18"/>
          <w:szCs w:val="18"/>
        </w:rPr>
        <w:t xml:space="preserve"> nota 5.</w:t>
      </w:r>
    </w:p>
  </w:footnote>
  <w:footnote w:id="7">
    <w:p w14:paraId="24F5900C" w14:textId="7EE5D436" w:rsidR="00634642" w:rsidRPr="002F0CBB" w:rsidRDefault="00634642" w:rsidP="002F0CBB">
      <w:pPr>
        <w:pStyle w:val="FootnoteText"/>
        <w:jc w:val="both"/>
        <w:rPr>
          <w:rFonts w:ascii="Cambria" w:hAnsi="Cambria" w:cstheme="minorHAnsi"/>
          <w:sz w:val="18"/>
          <w:szCs w:val="18"/>
        </w:rPr>
      </w:pPr>
      <w:r w:rsidRPr="002F0CBB">
        <w:rPr>
          <w:rStyle w:val="FootnoteReference"/>
          <w:rFonts w:ascii="Cambria" w:hAnsi="Cambria" w:cstheme="minorHAnsi"/>
          <w:sz w:val="18"/>
          <w:szCs w:val="18"/>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ONU, </w:t>
      </w:r>
      <w:r w:rsidRPr="002F0CBB">
        <w:rPr>
          <w:rFonts w:ascii="Cambria" w:hAnsi="Cambria" w:cstheme="minorHAnsi"/>
          <w:i/>
          <w:iCs/>
          <w:sz w:val="18"/>
          <w:szCs w:val="18"/>
        </w:rPr>
        <w:t>supra</w:t>
      </w:r>
      <w:r w:rsidRPr="002F0CBB">
        <w:rPr>
          <w:rFonts w:ascii="Cambria" w:hAnsi="Cambria" w:cstheme="minorHAnsi"/>
          <w:sz w:val="18"/>
          <w:szCs w:val="18"/>
        </w:rPr>
        <w:t xml:space="preserve"> nota 1.</w:t>
      </w:r>
    </w:p>
  </w:footnote>
  <w:footnote w:id="8">
    <w:p w14:paraId="7D6B6D16" w14:textId="77777777" w:rsidR="00634642" w:rsidRPr="002F0CBB" w:rsidRDefault="00634642" w:rsidP="002F0CBB">
      <w:pPr>
        <w:spacing w:after="0" w:line="240" w:lineRule="auto"/>
        <w:jc w:val="both"/>
        <w:rPr>
          <w:rFonts w:ascii="Cambria" w:hAnsi="Cambria" w:cstheme="minorHAnsi"/>
          <w:sz w:val="18"/>
          <w:szCs w:val="18"/>
          <w:lang w:val="en-US"/>
        </w:rPr>
      </w:pPr>
      <w:r w:rsidRPr="002F0CBB">
        <w:rPr>
          <w:rFonts w:ascii="Cambria" w:hAnsi="Cambria" w:cstheme="minorHAnsi"/>
          <w:sz w:val="18"/>
          <w:szCs w:val="18"/>
          <w:vertAlign w:val="superscript"/>
        </w:rPr>
        <w:footnoteRef/>
      </w:r>
      <w:r w:rsidRPr="002F0CBB">
        <w:rPr>
          <w:rFonts w:ascii="Cambria" w:hAnsi="Cambria" w:cstheme="minorHAnsi"/>
          <w:sz w:val="18"/>
          <w:szCs w:val="18"/>
          <w:lang w:val="en-US"/>
        </w:rPr>
        <w:t xml:space="preserve"> Danny Hakim, “‘It’s Hit Our Front Door’: Homes for the Disabled See a Surge of Covid-19”. The New York Times (April 8, 2020). Disponible </w:t>
      </w:r>
      <w:proofErr w:type="spellStart"/>
      <w:r w:rsidRPr="002F0CBB">
        <w:rPr>
          <w:rFonts w:ascii="Cambria" w:hAnsi="Cambria" w:cstheme="minorHAnsi"/>
          <w:sz w:val="18"/>
          <w:szCs w:val="18"/>
          <w:lang w:val="en-US"/>
        </w:rPr>
        <w:t>en</w:t>
      </w:r>
      <w:proofErr w:type="spellEnd"/>
      <w:r w:rsidRPr="002F0CBB">
        <w:rPr>
          <w:rFonts w:ascii="Cambria" w:hAnsi="Cambria" w:cstheme="minorHAnsi"/>
          <w:sz w:val="18"/>
          <w:szCs w:val="18"/>
          <w:lang w:val="en-US"/>
        </w:rPr>
        <w:t>:</w:t>
      </w:r>
      <w:r w:rsidRPr="002F0CBB">
        <w:rPr>
          <w:rFonts w:ascii="Cambria" w:hAnsi="Cambria" w:cstheme="minorHAnsi"/>
          <w:i/>
          <w:iCs/>
          <w:sz w:val="18"/>
          <w:szCs w:val="18"/>
          <w:lang w:val="en-US"/>
        </w:rPr>
        <w:t xml:space="preserve"> </w:t>
      </w:r>
      <w:hyperlink r:id="rId1" w:history="1">
        <w:r w:rsidRPr="002F0CBB">
          <w:rPr>
            <w:rStyle w:val="Hyperlink"/>
            <w:rFonts w:ascii="Cambria" w:hAnsi="Cambria" w:cstheme="minorHAnsi"/>
            <w:sz w:val="18"/>
            <w:szCs w:val="18"/>
            <w:lang w:val="en-US"/>
          </w:rPr>
          <w:t>https://www.nytimes.com/2020/04/08/nyregion/coronavirus-disabilities-group-homes.html?referringSource=articleShare</w:t>
        </w:r>
      </w:hyperlink>
      <w:r w:rsidRPr="002F0CBB">
        <w:rPr>
          <w:rFonts w:ascii="Cambria" w:hAnsi="Cambria" w:cstheme="minorHAnsi"/>
          <w:sz w:val="18"/>
          <w:szCs w:val="18"/>
          <w:lang w:val="en-US"/>
        </w:rPr>
        <w:t>. (</w:t>
      </w:r>
      <w:proofErr w:type="spellStart"/>
      <w:r w:rsidRPr="002F0CBB">
        <w:rPr>
          <w:rFonts w:ascii="Cambria" w:hAnsi="Cambria" w:cstheme="minorHAnsi"/>
          <w:sz w:val="18"/>
          <w:szCs w:val="18"/>
          <w:lang w:val="en-US"/>
        </w:rPr>
        <w:t>Traducción</w:t>
      </w:r>
      <w:proofErr w:type="spellEnd"/>
      <w:r w:rsidRPr="002F0CBB">
        <w:rPr>
          <w:rFonts w:ascii="Cambria" w:hAnsi="Cambria" w:cstheme="minorHAnsi"/>
          <w:sz w:val="18"/>
          <w:szCs w:val="18"/>
          <w:lang w:val="en-US"/>
        </w:rPr>
        <w:t xml:space="preserve"> </w:t>
      </w:r>
      <w:proofErr w:type="spellStart"/>
      <w:r w:rsidRPr="002F0CBB">
        <w:rPr>
          <w:rFonts w:ascii="Cambria" w:hAnsi="Cambria" w:cstheme="minorHAnsi"/>
          <w:sz w:val="18"/>
          <w:szCs w:val="18"/>
          <w:lang w:val="en-US"/>
        </w:rPr>
        <w:t>propia</w:t>
      </w:r>
      <w:proofErr w:type="spellEnd"/>
      <w:r w:rsidRPr="002F0CBB">
        <w:rPr>
          <w:rFonts w:ascii="Cambria" w:hAnsi="Cambria" w:cstheme="minorHAnsi"/>
          <w:sz w:val="18"/>
          <w:szCs w:val="18"/>
          <w:lang w:val="en-US"/>
        </w:rPr>
        <w:t>)</w:t>
      </w:r>
    </w:p>
  </w:footnote>
  <w:footnote w:id="9">
    <w:p w14:paraId="01A82078" w14:textId="77777777" w:rsidR="002F0CBB" w:rsidRPr="002F0CBB" w:rsidRDefault="002F0CBB"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lang w:val="en-US"/>
        </w:rPr>
        <w:t xml:space="preserve"> Judge David L. Bazelon Center for Mental Health Law, “During the Pandemic, States and Localities Must Decrease the Number of Individuals </w:t>
      </w:r>
      <w:proofErr w:type="gramStart"/>
      <w:r w:rsidRPr="002F0CBB">
        <w:rPr>
          <w:rFonts w:ascii="Cambria" w:hAnsi="Cambria" w:cstheme="minorHAnsi"/>
          <w:sz w:val="18"/>
          <w:szCs w:val="18"/>
          <w:lang w:val="en-US"/>
        </w:rPr>
        <w:t>In</w:t>
      </w:r>
      <w:proofErr w:type="gramEnd"/>
      <w:r w:rsidRPr="002F0CBB">
        <w:rPr>
          <w:rFonts w:ascii="Cambria" w:hAnsi="Cambria" w:cstheme="minorHAnsi"/>
          <w:sz w:val="18"/>
          <w:szCs w:val="18"/>
          <w:lang w:val="en-US"/>
        </w:rPr>
        <w:t xml:space="preserve"> Psychiatric Hospitals, By Reducing Admissions and Accelerating Discharges”. </w:t>
      </w:r>
      <w:r w:rsidRPr="002F0CBB">
        <w:rPr>
          <w:rFonts w:ascii="Cambria" w:hAnsi="Cambria" w:cstheme="minorHAnsi"/>
          <w:sz w:val="18"/>
          <w:szCs w:val="18"/>
        </w:rPr>
        <w:t xml:space="preserve">Disponible en: </w:t>
      </w:r>
      <w:r w:rsidR="00000000">
        <w:fldChar w:fldCharType="begin"/>
      </w:r>
      <w:r w:rsidR="00000000">
        <w:instrText>HYPERLINK "http://www.bazelon.org/wp-content/uploads/2020/04/4-15-20-BC-psych-hospitals-statement-FINAL.pdf" \h</w:instrText>
      </w:r>
      <w:r w:rsidR="00000000">
        <w:fldChar w:fldCharType="separate"/>
      </w:r>
      <w:r w:rsidRPr="002F0CBB">
        <w:rPr>
          <w:rFonts w:ascii="Cambria" w:hAnsi="Cambria" w:cstheme="minorHAnsi"/>
          <w:color w:val="1155CC"/>
          <w:sz w:val="18"/>
          <w:szCs w:val="18"/>
          <w:u w:val="single"/>
        </w:rPr>
        <w:t>http://www.bazelon.org/wp-content/uploads/2020/04/4-15-20-BC-psych-hospitals-statement-FINAL.pdf</w:t>
      </w:r>
      <w:r w:rsidR="00000000">
        <w:rPr>
          <w:rFonts w:ascii="Cambria" w:hAnsi="Cambria" w:cstheme="minorHAnsi"/>
          <w:color w:val="1155CC"/>
          <w:sz w:val="18"/>
          <w:szCs w:val="18"/>
          <w:u w:val="single"/>
        </w:rPr>
        <w:fldChar w:fldCharType="end"/>
      </w:r>
      <w:r w:rsidRPr="002F0CBB">
        <w:rPr>
          <w:rFonts w:ascii="Cambria" w:hAnsi="Cambria" w:cstheme="minorHAnsi"/>
          <w:sz w:val="18"/>
          <w:szCs w:val="18"/>
        </w:rPr>
        <w:t>.</w:t>
      </w:r>
    </w:p>
  </w:footnote>
  <w:footnote w:id="10">
    <w:p w14:paraId="483A031E" w14:textId="77777777"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lang w:val="en-US"/>
        </w:rPr>
        <w:t xml:space="preserve"> LTC, “Mortality associated with COVID-19 outbreaks in care homes: early international evidence”. </w:t>
      </w:r>
      <w:r w:rsidRPr="002F0CBB">
        <w:rPr>
          <w:rFonts w:ascii="Cambria" w:hAnsi="Cambria" w:cstheme="minorHAnsi"/>
          <w:sz w:val="18"/>
          <w:szCs w:val="18"/>
        </w:rPr>
        <w:t xml:space="preserve">Disponible en: </w:t>
      </w:r>
      <w:r w:rsidR="00000000">
        <w:fldChar w:fldCharType="begin"/>
      </w:r>
      <w:r w:rsidR="00000000">
        <w:instrText>HYPERLINK "https://ltccovid.org/2020/04/12/mortality-associated-with-covid-19-outbreaks-in-care-homes-early-international-evidence/?subscribe=success" \l "blog_subscription-3" \h</w:instrText>
      </w:r>
      <w:r w:rsidR="00000000">
        <w:fldChar w:fldCharType="separate"/>
      </w:r>
      <w:r w:rsidRPr="002F0CBB">
        <w:rPr>
          <w:rFonts w:ascii="Cambria" w:hAnsi="Cambria" w:cstheme="minorHAnsi"/>
          <w:color w:val="1155CC"/>
          <w:sz w:val="18"/>
          <w:szCs w:val="18"/>
          <w:u w:val="single"/>
        </w:rPr>
        <w:t>https://ltccovid.org/2020/04/12/mortality-associated-with-covid-19-outbreaks-in-care-homes-early-international-evidence/?subscribe=success#blog_subscription-3</w:t>
      </w:r>
      <w:r w:rsidR="00000000">
        <w:rPr>
          <w:rFonts w:ascii="Cambria" w:hAnsi="Cambria" w:cstheme="minorHAnsi"/>
          <w:color w:val="1155CC"/>
          <w:sz w:val="18"/>
          <w:szCs w:val="18"/>
          <w:u w:val="single"/>
        </w:rPr>
        <w:fldChar w:fldCharType="end"/>
      </w:r>
      <w:r w:rsidRPr="002F0CBB">
        <w:rPr>
          <w:rFonts w:ascii="Cambria" w:hAnsi="Cambria" w:cstheme="minorHAnsi"/>
          <w:sz w:val="18"/>
          <w:szCs w:val="18"/>
        </w:rPr>
        <w:t>.</w:t>
      </w:r>
    </w:p>
  </w:footnote>
  <w:footnote w:id="11">
    <w:p w14:paraId="749668C4" w14:textId="77777777"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lang w:val="en-US"/>
        </w:rPr>
        <w:t xml:space="preserve"> The Guardian, “Half of coronavirus deaths happen in care homes, data from EU suggests”. </w:t>
      </w:r>
      <w:r w:rsidRPr="002F0CBB">
        <w:rPr>
          <w:rFonts w:ascii="Cambria" w:hAnsi="Cambria" w:cstheme="minorHAnsi"/>
          <w:sz w:val="18"/>
          <w:szCs w:val="18"/>
        </w:rPr>
        <w:t xml:space="preserve">The Guardian. Disponible en: </w:t>
      </w:r>
      <w:r w:rsidR="00000000">
        <w:fldChar w:fldCharType="begin"/>
      </w:r>
      <w:r w:rsidR="00000000">
        <w:instrText>HYPERLINK "https://www.theguardian.com/world/2020/apr/13/half-of-coronavirus-deaths-happen-in-care-homes-data-from-eu-suggests"</w:instrText>
      </w:r>
      <w:r w:rsidR="00000000">
        <w:fldChar w:fldCharType="separate"/>
      </w:r>
      <w:r w:rsidRPr="002F0CBB">
        <w:rPr>
          <w:rStyle w:val="Hyperlink"/>
          <w:rFonts w:ascii="Cambria" w:hAnsi="Cambria" w:cstheme="minorHAnsi"/>
          <w:sz w:val="18"/>
          <w:szCs w:val="18"/>
        </w:rPr>
        <w:t>https://www.theguardian.com/world/2020/apr/13/half-of-coronavirus-deaths-happen-in-care-homes-data-from-eu-suggests</w:t>
      </w:r>
      <w:r w:rsidR="00000000">
        <w:rPr>
          <w:rStyle w:val="Hyperlink"/>
          <w:rFonts w:ascii="Cambria" w:hAnsi="Cambria" w:cstheme="minorHAnsi"/>
          <w:sz w:val="18"/>
          <w:szCs w:val="18"/>
        </w:rPr>
        <w:fldChar w:fldCharType="end"/>
      </w:r>
      <w:r w:rsidRPr="002F0CBB">
        <w:rPr>
          <w:rFonts w:ascii="Cambria" w:hAnsi="Cambria" w:cstheme="minorHAnsi"/>
          <w:sz w:val="18"/>
          <w:szCs w:val="18"/>
        </w:rPr>
        <w:t>.</w:t>
      </w:r>
    </w:p>
  </w:footnote>
  <w:footnote w:id="12">
    <w:p w14:paraId="493E235C" w14:textId="77777777"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lang w:val="en-US"/>
        </w:rPr>
        <w:t xml:space="preserve"> ITCOVID, “Mortality associated with COVID-19 outbreaks in care homes: early international evidence”. </w:t>
      </w:r>
      <w:r w:rsidRPr="002F0CBB">
        <w:rPr>
          <w:rFonts w:ascii="Cambria" w:hAnsi="Cambria" w:cstheme="minorHAnsi"/>
          <w:sz w:val="18"/>
          <w:szCs w:val="18"/>
        </w:rPr>
        <w:t xml:space="preserve">Disponible en: </w:t>
      </w:r>
      <w:r w:rsidR="00000000">
        <w:fldChar w:fldCharType="begin"/>
      </w:r>
      <w:r w:rsidR="00000000">
        <w:instrText>HYPERLINK "https://ltccovid.org/2020/04/12/mortality-associated-with-covid-19-outbreaks-in-care-homes-early-international-evidence/?subscribe=success" \l "blog_subscription-3"</w:instrText>
      </w:r>
      <w:r w:rsidR="00000000">
        <w:fldChar w:fldCharType="separate"/>
      </w:r>
      <w:r w:rsidRPr="002F0CBB">
        <w:rPr>
          <w:rStyle w:val="Hyperlink"/>
          <w:rFonts w:ascii="Cambria" w:hAnsi="Cambria" w:cstheme="minorHAnsi"/>
          <w:sz w:val="18"/>
          <w:szCs w:val="18"/>
        </w:rPr>
        <w:t>https://ltccovid.org/2020/04/12/mortality-associated-with-covid-19-outbreaks-in-care-homes-early-international-evidence/?subscribe=success#blog_subscription-3</w:t>
      </w:r>
      <w:r w:rsidR="00000000">
        <w:rPr>
          <w:rStyle w:val="Hyperlink"/>
          <w:rFonts w:ascii="Cambria" w:hAnsi="Cambria" w:cstheme="minorHAnsi"/>
          <w:sz w:val="18"/>
          <w:szCs w:val="18"/>
        </w:rPr>
        <w:fldChar w:fldCharType="end"/>
      </w:r>
    </w:p>
  </w:footnote>
  <w:footnote w:id="13">
    <w:p w14:paraId="6FDF5982" w14:textId="72606EAF"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Ibidem.</w:t>
      </w:r>
    </w:p>
  </w:footnote>
  <w:footnote w:id="14">
    <w:p w14:paraId="6679CF4E" w14:textId="77777777" w:rsidR="00634642" w:rsidRPr="002F0CBB" w:rsidRDefault="00634642" w:rsidP="002F0CBB">
      <w:pPr>
        <w:pStyle w:val="FootnoteText"/>
        <w:jc w:val="both"/>
        <w:rPr>
          <w:rFonts w:ascii="Cambria" w:hAnsi="Cambria" w:cstheme="minorHAnsi"/>
          <w:sz w:val="18"/>
          <w:szCs w:val="18"/>
        </w:rPr>
      </w:pPr>
      <w:r w:rsidRPr="002F0CBB">
        <w:rPr>
          <w:rStyle w:val="FootnoteReference"/>
          <w:rFonts w:ascii="Cambria" w:hAnsi="Cambria" w:cstheme="minorHAnsi"/>
          <w:sz w:val="18"/>
          <w:szCs w:val="18"/>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Oriol Güell, “Residencias y hospitales concentran los nuevos contagios por coronavirus”. El País (Abril 11, 2020). Disponible en: </w:t>
      </w:r>
      <w:r w:rsidR="00000000">
        <w:fldChar w:fldCharType="begin"/>
      </w:r>
      <w:r w:rsidR="00000000">
        <w:instrText>HYPERLINK "https://elpais.com/sociedad/2020-04-10/residencias-de-mayores-y-hospitales-acaparan-la-mayoria-de-nuevos-contagios-del-coronavirus.html"</w:instrText>
      </w:r>
      <w:r w:rsidR="00000000">
        <w:fldChar w:fldCharType="separate"/>
      </w:r>
      <w:r w:rsidRPr="002F0CBB">
        <w:rPr>
          <w:rStyle w:val="Hyperlink"/>
          <w:rFonts w:ascii="Cambria" w:hAnsi="Cambria" w:cstheme="minorHAnsi"/>
          <w:sz w:val="18"/>
          <w:szCs w:val="18"/>
        </w:rPr>
        <w:t>https://elpais.com/sociedad/2020-04-10/residencias-de-mayores-y-hospitales-acaparan-la-mayoria-de-nuevos-contagios-del-coronavirus.html</w:t>
      </w:r>
      <w:r w:rsidR="00000000">
        <w:rPr>
          <w:rStyle w:val="Hyperlink"/>
          <w:rFonts w:ascii="Cambria" w:hAnsi="Cambria" w:cstheme="minorHAnsi"/>
          <w:sz w:val="18"/>
          <w:szCs w:val="18"/>
        </w:rPr>
        <w:fldChar w:fldCharType="end"/>
      </w:r>
      <w:r w:rsidRPr="002F0CBB">
        <w:rPr>
          <w:rFonts w:ascii="Cambria" w:hAnsi="Cambria" w:cstheme="minorHAnsi"/>
          <w:sz w:val="18"/>
          <w:szCs w:val="18"/>
        </w:rPr>
        <w:t>.</w:t>
      </w:r>
    </w:p>
  </w:footnote>
  <w:footnote w:id="15">
    <w:p w14:paraId="61A6639B" w14:textId="77777777" w:rsidR="00634642" w:rsidRPr="002F0CBB" w:rsidRDefault="00634642" w:rsidP="002F0CBB">
      <w:pPr>
        <w:spacing w:after="0" w:line="240" w:lineRule="auto"/>
        <w:jc w:val="both"/>
        <w:rPr>
          <w:rFonts w:ascii="Cambria" w:hAnsi="Cambria" w:cstheme="minorHAnsi"/>
          <w:i/>
          <w:iCs/>
          <w:sz w:val="18"/>
          <w:szCs w:val="18"/>
          <w:lang w:val="en-US"/>
        </w:rPr>
      </w:pPr>
      <w:r w:rsidRPr="002F0CBB">
        <w:rPr>
          <w:rFonts w:ascii="Cambria" w:hAnsi="Cambria" w:cstheme="minorHAnsi"/>
          <w:sz w:val="18"/>
          <w:szCs w:val="18"/>
          <w:vertAlign w:val="superscript"/>
        </w:rPr>
        <w:footnoteRef/>
      </w:r>
      <w:r w:rsidRPr="002F0CBB">
        <w:rPr>
          <w:rFonts w:ascii="Cambria" w:hAnsi="Cambria" w:cstheme="minorHAnsi"/>
          <w:sz w:val="18"/>
          <w:szCs w:val="18"/>
          <w:lang w:val="en-US"/>
        </w:rPr>
        <w:t xml:space="preserve"> Farah Stockman y </w:t>
      </w:r>
      <w:proofErr w:type="spellStart"/>
      <w:r w:rsidRPr="002F0CBB">
        <w:rPr>
          <w:rFonts w:ascii="Cambria" w:hAnsi="Cambria" w:cstheme="minorHAnsi"/>
          <w:sz w:val="18"/>
          <w:szCs w:val="18"/>
          <w:lang w:val="en-US"/>
        </w:rPr>
        <w:t>otras</w:t>
      </w:r>
      <w:proofErr w:type="spellEnd"/>
      <w:r w:rsidRPr="002F0CBB">
        <w:rPr>
          <w:rFonts w:ascii="Cambria" w:hAnsi="Cambria" w:cstheme="minorHAnsi"/>
          <w:sz w:val="18"/>
          <w:szCs w:val="18"/>
          <w:lang w:val="en-US"/>
        </w:rPr>
        <w:t>, “</w:t>
      </w:r>
      <w:r w:rsidRPr="002F0CBB">
        <w:rPr>
          <w:rFonts w:ascii="Cambria" w:hAnsi="Cambria" w:cstheme="minorHAnsi"/>
          <w:i/>
          <w:iCs/>
          <w:sz w:val="18"/>
          <w:szCs w:val="18"/>
          <w:lang w:val="en-US"/>
        </w:rPr>
        <w:t>They’re Death Pits’: Virus Claims at Least 7,000 Lives in U.S. Nursing Homes</w:t>
      </w:r>
      <w:r w:rsidRPr="002F0CBB">
        <w:rPr>
          <w:rFonts w:ascii="Cambria" w:hAnsi="Cambria" w:cstheme="minorHAnsi"/>
          <w:sz w:val="18"/>
          <w:szCs w:val="18"/>
          <w:lang w:val="en-US"/>
        </w:rPr>
        <w:t xml:space="preserve">”. The New York Times (April 17, 2020). Disponible </w:t>
      </w:r>
      <w:proofErr w:type="spellStart"/>
      <w:r w:rsidRPr="002F0CBB">
        <w:rPr>
          <w:rFonts w:ascii="Cambria" w:hAnsi="Cambria" w:cstheme="minorHAnsi"/>
          <w:sz w:val="18"/>
          <w:szCs w:val="18"/>
          <w:lang w:val="en-US"/>
        </w:rPr>
        <w:t>en</w:t>
      </w:r>
      <w:proofErr w:type="spellEnd"/>
      <w:r w:rsidRPr="002F0CBB">
        <w:rPr>
          <w:rFonts w:ascii="Cambria" w:hAnsi="Cambria" w:cstheme="minorHAnsi"/>
          <w:sz w:val="18"/>
          <w:szCs w:val="18"/>
          <w:lang w:val="en-US"/>
        </w:rPr>
        <w:t xml:space="preserve">: </w:t>
      </w:r>
      <w:hyperlink r:id="rId2">
        <w:r w:rsidRPr="002F0CBB">
          <w:rPr>
            <w:rFonts w:ascii="Cambria" w:hAnsi="Cambria" w:cstheme="minorHAnsi"/>
            <w:color w:val="1155CC"/>
            <w:sz w:val="18"/>
            <w:szCs w:val="18"/>
            <w:u w:val="single"/>
            <w:lang w:val="en-US"/>
          </w:rPr>
          <w:t>https://www.nytimes.com/2020/04/17/us/coronavirus-nursing-homes.html</w:t>
        </w:r>
      </w:hyperlink>
      <w:r w:rsidRPr="002F0CBB">
        <w:rPr>
          <w:rFonts w:ascii="Cambria" w:hAnsi="Cambria" w:cstheme="minorHAnsi"/>
          <w:sz w:val="18"/>
          <w:szCs w:val="18"/>
          <w:lang w:val="en-US"/>
        </w:rPr>
        <w:t>.</w:t>
      </w:r>
    </w:p>
  </w:footnote>
  <w:footnote w:id="16">
    <w:p w14:paraId="79EE7B86" w14:textId="77777777"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bookmarkStart w:id="0" w:name="_Hlk39224356"/>
      <w:r w:rsidRPr="002F0CBB">
        <w:rPr>
          <w:rFonts w:ascii="Cambria" w:hAnsi="Cambria" w:cstheme="minorHAnsi"/>
          <w:sz w:val="18"/>
          <w:szCs w:val="18"/>
        </w:rPr>
        <w:t>Quimy de León, “En peligro pacientes y trabajadores del Hospital de Salud Mental “Carlos Federico Mora”. Medium (Abril 23, 2020)</w:t>
      </w:r>
      <w:bookmarkEnd w:id="0"/>
      <w:r w:rsidRPr="002F0CBB">
        <w:rPr>
          <w:rFonts w:ascii="Cambria" w:hAnsi="Cambria" w:cstheme="minorHAnsi"/>
          <w:sz w:val="18"/>
          <w:szCs w:val="18"/>
        </w:rPr>
        <w:t xml:space="preserve">. Disponible en: </w:t>
      </w:r>
      <w:r w:rsidR="00000000">
        <w:fldChar w:fldCharType="begin"/>
      </w:r>
      <w:r w:rsidR="00000000">
        <w:instrText>HYPERLINK "https://medium.com/@PrensaComunitar/en-peligro-pacientes-y-trabajadores-del-hospital-de-salud-mental-carlos-federico-mora-f06d5925715e" \h</w:instrText>
      </w:r>
      <w:r w:rsidR="00000000">
        <w:fldChar w:fldCharType="separate"/>
      </w:r>
      <w:r w:rsidRPr="002F0CBB">
        <w:rPr>
          <w:rFonts w:ascii="Cambria" w:hAnsi="Cambria" w:cstheme="minorHAnsi"/>
          <w:color w:val="1155CC"/>
          <w:sz w:val="18"/>
          <w:szCs w:val="18"/>
          <w:u w:val="single"/>
        </w:rPr>
        <w:t>https://medium.com/@PrensaComunitar/en-peligro-pacientes-y-trabajadores-del-hospital-de-salud-mental-carlos-federico-mora-f06d5925715e</w:t>
      </w:r>
      <w:r w:rsidR="00000000">
        <w:rPr>
          <w:rFonts w:ascii="Cambria" w:hAnsi="Cambria" w:cstheme="minorHAnsi"/>
          <w:color w:val="1155CC"/>
          <w:sz w:val="18"/>
          <w:szCs w:val="18"/>
          <w:u w:val="single"/>
        </w:rPr>
        <w:fldChar w:fldCharType="end"/>
      </w:r>
      <w:r w:rsidRPr="002F0CBB">
        <w:rPr>
          <w:rFonts w:ascii="Cambria" w:hAnsi="Cambria" w:cstheme="minorHAnsi"/>
          <w:sz w:val="18"/>
          <w:szCs w:val="18"/>
        </w:rPr>
        <w:t>.</w:t>
      </w:r>
    </w:p>
  </w:footnote>
  <w:footnote w:id="17">
    <w:p w14:paraId="3511F5FF" w14:textId="77777777"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bookmarkStart w:id="1" w:name="_Hlk39224401"/>
      <w:r w:rsidRPr="002F0CBB">
        <w:rPr>
          <w:rFonts w:ascii="Cambria" w:hAnsi="Cambria" w:cstheme="minorHAnsi"/>
          <w:sz w:val="18"/>
          <w:szCs w:val="18"/>
        </w:rPr>
        <w:t xml:space="preserve">Pía Flores, “Casos positivos en el San Juan de Dios y el Federico Mora: el miedo del personal al COVID-19 (y a cuestionar a sus jefes)”. Nómada GT (Abril 23, 2020). </w:t>
      </w:r>
      <w:bookmarkEnd w:id="1"/>
      <w:r w:rsidRPr="002F0CBB">
        <w:rPr>
          <w:rFonts w:ascii="Cambria" w:hAnsi="Cambria" w:cstheme="minorHAnsi"/>
          <w:sz w:val="18"/>
          <w:szCs w:val="18"/>
        </w:rPr>
        <w:t xml:space="preserve">Disponible en: </w:t>
      </w:r>
      <w:r w:rsidR="00000000">
        <w:fldChar w:fldCharType="begin"/>
      </w:r>
      <w:r w:rsidR="00000000">
        <w:instrText>HYPERLINK "https://nomada.gt/pais/actualidad/casos-positivos-en-el-san-juan-de-dios-y-el-federico-mora-el-miedo-de-los-doctores-al-covid-19-y-a-cuestionar-a-sus-jefes/" \h</w:instrText>
      </w:r>
      <w:r w:rsidR="00000000">
        <w:fldChar w:fldCharType="separate"/>
      </w:r>
      <w:r w:rsidRPr="002F0CBB">
        <w:rPr>
          <w:rFonts w:ascii="Cambria" w:hAnsi="Cambria" w:cstheme="minorHAnsi"/>
          <w:color w:val="1155CC"/>
          <w:sz w:val="18"/>
          <w:szCs w:val="18"/>
          <w:u w:val="single"/>
        </w:rPr>
        <w:t>https://nomada.gt/pais/actualidad/casos-positivos-en-el-san-juan-de-dios-y-el-federico-mora-el-miedo-de-los-doctores-al-covid-19-y-a-cuestionar-a-sus-jefes/</w:t>
      </w:r>
      <w:r w:rsidR="00000000">
        <w:rPr>
          <w:rFonts w:ascii="Cambria" w:hAnsi="Cambria" w:cstheme="minorHAnsi"/>
          <w:color w:val="1155CC"/>
          <w:sz w:val="18"/>
          <w:szCs w:val="18"/>
          <w:u w:val="single"/>
        </w:rPr>
        <w:fldChar w:fldCharType="end"/>
      </w:r>
      <w:r w:rsidRPr="002F0CBB">
        <w:rPr>
          <w:rFonts w:ascii="Cambria" w:hAnsi="Cambria" w:cstheme="minorHAnsi"/>
          <w:sz w:val="18"/>
          <w:szCs w:val="18"/>
        </w:rPr>
        <w:t>.</w:t>
      </w:r>
    </w:p>
  </w:footnote>
  <w:footnote w:id="18">
    <w:p w14:paraId="0ACCBD39" w14:textId="700980C1" w:rsidR="00634642" w:rsidRPr="002F0CBB" w:rsidRDefault="00634642" w:rsidP="002F0CBB">
      <w:pPr>
        <w:pStyle w:val="FootnoteText"/>
        <w:rPr>
          <w:rFonts w:ascii="Cambria" w:hAnsi="Cambria" w:cstheme="minorHAnsi"/>
          <w:sz w:val="18"/>
          <w:szCs w:val="18"/>
        </w:rPr>
      </w:pPr>
      <w:r w:rsidRPr="002F0CBB">
        <w:rPr>
          <w:rStyle w:val="FootnoteReference"/>
          <w:rFonts w:ascii="Cambria" w:hAnsi="Cambria" w:cstheme="minorHAnsi"/>
          <w:sz w:val="18"/>
          <w:szCs w:val="18"/>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CIDH, “La situación de Derechos Humanos de Guatemala “ (2017), párr. 469. Disponible en: </w:t>
      </w:r>
      <w:r w:rsidR="00000000">
        <w:fldChar w:fldCharType="begin"/>
      </w:r>
      <w:r w:rsidR="00000000">
        <w:instrText>HYPERLINK "https://www.oas.org/en/iachr/reports/pdfs/Guatemala2017-en.pdf"</w:instrText>
      </w:r>
      <w:r w:rsidR="00000000">
        <w:fldChar w:fldCharType="separate"/>
      </w:r>
      <w:r w:rsidRPr="002F0CBB">
        <w:rPr>
          <w:rStyle w:val="Hyperlink"/>
          <w:rFonts w:ascii="Cambria" w:hAnsi="Cambria" w:cstheme="minorHAnsi"/>
          <w:sz w:val="18"/>
          <w:szCs w:val="18"/>
        </w:rPr>
        <w:t>https://www.oas.org/en/iachr/reports/pdfs/Guatemala2017-en.pdf</w:t>
      </w:r>
      <w:r w:rsidR="00000000">
        <w:rPr>
          <w:rStyle w:val="Hyperlink"/>
          <w:rFonts w:ascii="Cambria" w:hAnsi="Cambria" w:cstheme="minorHAnsi"/>
          <w:sz w:val="18"/>
          <w:szCs w:val="18"/>
        </w:rPr>
        <w:fldChar w:fldCharType="end"/>
      </w:r>
      <w:r w:rsidRPr="002F0CBB">
        <w:rPr>
          <w:rFonts w:ascii="Cambria" w:hAnsi="Cambria" w:cstheme="minorHAnsi"/>
          <w:sz w:val="18"/>
          <w:szCs w:val="18"/>
        </w:rPr>
        <w:t>.</w:t>
      </w:r>
    </w:p>
  </w:footnote>
  <w:footnote w:id="19">
    <w:p w14:paraId="0D16F53B" w14:textId="77777777"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Diario La Hora. Disponible en Twitter:</w:t>
      </w:r>
      <w:r w:rsidR="00000000">
        <w:fldChar w:fldCharType="begin"/>
      </w:r>
      <w:r w:rsidR="00000000">
        <w:instrText>HYPERLINK "file:///C:\\Users\\admin\\Downloads\\"</w:instrText>
      </w:r>
      <w:r w:rsidR="00000000">
        <w:fldChar w:fldCharType="separate"/>
      </w:r>
      <w:r w:rsidRPr="002F0CBB">
        <w:rPr>
          <w:rStyle w:val="Hyperlink"/>
          <w:rFonts w:ascii="Cambria" w:hAnsi="Cambria" w:cstheme="minorHAnsi"/>
          <w:sz w:val="18"/>
          <w:szCs w:val="18"/>
        </w:rPr>
        <w:t xml:space="preserve"> </w:t>
      </w:r>
      <w:r w:rsidR="00000000">
        <w:rPr>
          <w:rStyle w:val="Hyperlink"/>
          <w:rFonts w:ascii="Cambria" w:hAnsi="Cambria" w:cstheme="minorHAnsi"/>
          <w:sz w:val="18"/>
          <w:szCs w:val="18"/>
        </w:rPr>
        <w:fldChar w:fldCharType="end"/>
      </w:r>
      <w:hyperlink r:id="rId3">
        <w:r w:rsidRPr="002F0CBB">
          <w:rPr>
            <w:rFonts w:ascii="Cambria" w:hAnsi="Cambria" w:cstheme="minorHAnsi"/>
            <w:color w:val="1155CC"/>
            <w:sz w:val="18"/>
            <w:szCs w:val="18"/>
            <w:u w:val="single"/>
          </w:rPr>
          <w:t>https://twitter.com/lahoragt/status/1253053492517879809</w:t>
        </w:r>
      </w:hyperlink>
      <w:r w:rsidRPr="002F0CBB">
        <w:rPr>
          <w:rFonts w:ascii="Cambria" w:hAnsi="Cambria" w:cstheme="minorHAnsi"/>
          <w:sz w:val="18"/>
          <w:szCs w:val="18"/>
        </w:rPr>
        <w:t>.</w:t>
      </w:r>
    </w:p>
  </w:footnote>
  <w:footnote w:id="20">
    <w:p w14:paraId="3831B19D" w14:textId="77777777"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ONU, “COVID-19: ¿Quién protege a las personas con discapacidad?, alerta experta de la ONU”. Disponible en: </w:t>
      </w:r>
      <w:r w:rsidR="00000000">
        <w:fldChar w:fldCharType="begin"/>
      </w:r>
      <w:r w:rsidR="00000000">
        <w:instrText>HYPERLINK "https://www.ohchr.org/SP/NewsEvents/Pages/DisplayNews.aspx?NewsID=25725&amp;LangID=S"</w:instrText>
      </w:r>
      <w:r w:rsidR="00000000">
        <w:fldChar w:fldCharType="separate"/>
      </w:r>
      <w:r w:rsidRPr="002F0CBB">
        <w:rPr>
          <w:rStyle w:val="Hyperlink"/>
          <w:rFonts w:ascii="Cambria" w:hAnsi="Cambria" w:cstheme="minorHAnsi"/>
          <w:sz w:val="18"/>
          <w:szCs w:val="18"/>
        </w:rPr>
        <w:t>https://www.ohchr.org/SP/NewsEvents/Pages/DisplayNews.aspx?NewsID=25725&amp;LangID=S</w:t>
      </w:r>
      <w:r w:rsidR="00000000">
        <w:rPr>
          <w:rStyle w:val="Hyperlink"/>
          <w:rFonts w:ascii="Cambria" w:hAnsi="Cambria" w:cstheme="minorHAnsi"/>
          <w:sz w:val="18"/>
          <w:szCs w:val="18"/>
        </w:rPr>
        <w:fldChar w:fldCharType="end"/>
      </w:r>
      <w:r w:rsidRPr="002F0CBB">
        <w:rPr>
          <w:rFonts w:ascii="Cambria" w:hAnsi="Cambria" w:cstheme="minorHAnsi"/>
          <w:sz w:val="18"/>
          <w:szCs w:val="18"/>
        </w:rPr>
        <w:t>.</w:t>
      </w:r>
    </w:p>
  </w:footnote>
  <w:footnote w:id="21">
    <w:p w14:paraId="095CA0F1" w14:textId="144C4374" w:rsidR="00634642" w:rsidRPr="002F0CBB" w:rsidRDefault="00634642" w:rsidP="002F0CBB">
      <w:pPr>
        <w:spacing w:after="0" w:line="240" w:lineRule="auto"/>
        <w:jc w:val="both"/>
        <w:rPr>
          <w:rFonts w:ascii="Cambria" w:hAnsi="Cambria" w:cstheme="minorHAnsi"/>
          <w:sz w:val="18"/>
          <w:szCs w:val="18"/>
          <w:vertAlign w:val="superscript"/>
        </w:rPr>
      </w:pPr>
      <w:r w:rsidRPr="002F0CBB">
        <w:rPr>
          <w:rFonts w:ascii="Cambria" w:hAnsi="Cambria" w:cstheme="minorHAnsi"/>
          <w:sz w:val="18"/>
          <w:szCs w:val="18"/>
          <w:vertAlign w:val="superscript"/>
        </w:rPr>
        <w:footnoteRef/>
      </w:r>
      <w:r w:rsidRPr="002F0CBB">
        <w:rPr>
          <w:rFonts w:ascii="Cambria" w:hAnsi="Cambria" w:cstheme="minorHAnsi"/>
          <w:sz w:val="18"/>
          <w:szCs w:val="18"/>
          <w:vertAlign w:val="superscript"/>
        </w:rPr>
        <w:t xml:space="preserve"> </w:t>
      </w:r>
      <w:r w:rsidRPr="002F0CBB">
        <w:rPr>
          <w:rFonts w:ascii="Cambria" w:hAnsi="Cambria" w:cstheme="minorHAnsi"/>
          <w:sz w:val="18"/>
          <w:szCs w:val="18"/>
        </w:rPr>
        <w:t>CIDH,</w:t>
      </w:r>
      <w:r w:rsidR="00000000">
        <w:fldChar w:fldCharType="begin"/>
      </w:r>
      <w:r w:rsidR="00000000">
        <w:instrText>HYPERLINK "http://www.oas.org/es/cidh/decisiones/pdf/Resolucion-1-20-es.pdf" \h</w:instrText>
      </w:r>
      <w:r w:rsidR="00000000">
        <w:fldChar w:fldCharType="separate"/>
      </w:r>
      <w:r w:rsidRPr="002F0CBB">
        <w:rPr>
          <w:rFonts w:ascii="Cambria" w:hAnsi="Cambria" w:cstheme="minorHAnsi"/>
          <w:sz w:val="18"/>
          <w:szCs w:val="18"/>
        </w:rPr>
        <w:t xml:space="preserve"> </w:t>
      </w:r>
      <w:r w:rsidR="00000000">
        <w:rPr>
          <w:rFonts w:ascii="Cambria" w:hAnsi="Cambria" w:cstheme="minorHAnsi"/>
          <w:sz w:val="18"/>
          <w:szCs w:val="18"/>
        </w:rPr>
        <w:fldChar w:fldCharType="end"/>
      </w:r>
      <w:r w:rsidRPr="002F0CBB">
        <w:rPr>
          <w:rFonts w:ascii="Cambria" w:hAnsi="Cambria" w:cstheme="minorHAnsi"/>
          <w:i/>
          <w:iCs/>
          <w:sz w:val="18"/>
          <w:szCs w:val="18"/>
        </w:rPr>
        <w:t>supra</w:t>
      </w:r>
      <w:r w:rsidRPr="002F0CBB">
        <w:rPr>
          <w:rFonts w:ascii="Cambria" w:hAnsi="Cambria" w:cstheme="minorHAnsi"/>
          <w:sz w:val="18"/>
          <w:szCs w:val="18"/>
        </w:rPr>
        <w:t xml:space="preserve"> nota 5, párr. 47.</w:t>
      </w:r>
    </w:p>
  </w:footnote>
  <w:footnote w:id="22">
    <w:p w14:paraId="087951FA" w14:textId="299DC58B"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CIDH, </w:t>
      </w:r>
      <w:r w:rsidRPr="002F0CBB">
        <w:rPr>
          <w:rFonts w:ascii="Cambria" w:hAnsi="Cambria" w:cstheme="minorHAnsi"/>
          <w:i/>
          <w:iCs/>
          <w:sz w:val="18"/>
          <w:szCs w:val="18"/>
        </w:rPr>
        <w:t>supra</w:t>
      </w:r>
      <w:r w:rsidRPr="002F0CBB">
        <w:rPr>
          <w:rFonts w:ascii="Cambria" w:hAnsi="Cambria" w:cstheme="minorHAnsi"/>
          <w:sz w:val="18"/>
          <w:szCs w:val="18"/>
        </w:rPr>
        <w:t xml:space="preserve"> nota 5.</w:t>
      </w:r>
    </w:p>
  </w:footnote>
  <w:footnote w:id="23">
    <w:p w14:paraId="4D59A304" w14:textId="57D42AAA"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Disability Rights International, solicitud de medidas cautelares en favor de las y los pacientes del Federico Mora (2012).</w:t>
      </w:r>
    </w:p>
  </w:footnote>
  <w:footnote w:id="24">
    <w:p w14:paraId="02CFA4D4" w14:textId="1BE28A35"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OMS, </w:t>
      </w:r>
      <w:r w:rsidRPr="002F0CBB">
        <w:rPr>
          <w:rFonts w:ascii="Cambria" w:hAnsi="Cambria" w:cstheme="minorHAnsi"/>
          <w:i/>
          <w:iCs/>
          <w:sz w:val="18"/>
          <w:szCs w:val="18"/>
        </w:rPr>
        <w:t>supra</w:t>
      </w:r>
      <w:r w:rsidRPr="002F0CBB">
        <w:rPr>
          <w:rFonts w:ascii="Cambria" w:hAnsi="Cambria" w:cstheme="minorHAnsi"/>
          <w:sz w:val="18"/>
          <w:szCs w:val="18"/>
        </w:rPr>
        <w:t xml:space="preserve"> nota 2.</w:t>
      </w:r>
    </w:p>
  </w:footnote>
  <w:footnote w:id="25">
    <w:p w14:paraId="7F9BA5EF" w14:textId="13ADF851"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CIDH, </w:t>
      </w:r>
      <w:r w:rsidRPr="002F0CBB">
        <w:rPr>
          <w:rFonts w:ascii="Cambria" w:hAnsi="Cambria" w:cstheme="minorHAnsi"/>
          <w:i/>
          <w:iCs/>
          <w:sz w:val="18"/>
          <w:szCs w:val="18"/>
        </w:rPr>
        <w:t>supra</w:t>
      </w:r>
      <w:r w:rsidRPr="002F0CBB">
        <w:rPr>
          <w:rFonts w:ascii="Cambria" w:hAnsi="Cambria" w:cstheme="minorHAnsi"/>
          <w:sz w:val="18"/>
          <w:szCs w:val="18"/>
        </w:rPr>
        <w:t xml:space="preserve"> nota 18.</w:t>
      </w:r>
    </w:p>
  </w:footnote>
  <w:footnote w:id="26">
    <w:p w14:paraId="1139C27B" w14:textId="2E060B92"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Ibidem.</w:t>
      </w:r>
    </w:p>
  </w:footnote>
  <w:footnote w:id="27">
    <w:p w14:paraId="5369EF98" w14:textId="1034EE3A"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OMS, </w:t>
      </w:r>
      <w:r w:rsidRPr="002F0CBB">
        <w:rPr>
          <w:rFonts w:ascii="Cambria" w:hAnsi="Cambria" w:cstheme="minorHAnsi"/>
          <w:i/>
          <w:iCs/>
          <w:sz w:val="18"/>
          <w:szCs w:val="18"/>
        </w:rPr>
        <w:t>supra</w:t>
      </w:r>
      <w:r w:rsidRPr="002F0CBB">
        <w:rPr>
          <w:rFonts w:ascii="Cambria" w:hAnsi="Cambria" w:cstheme="minorHAnsi"/>
          <w:sz w:val="18"/>
          <w:szCs w:val="18"/>
        </w:rPr>
        <w:t xml:space="preserve"> nota 2.</w:t>
      </w:r>
    </w:p>
  </w:footnote>
  <w:footnote w:id="28">
    <w:p w14:paraId="46F566CB" w14:textId="77777777"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PDH, </w:t>
      </w:r>
      <w:bookmarkStart w:id="2" w:name="_Hlk39224423"/>
      <w:r w:rsidRPr="002F0CBB">
        <w:rPr>
          <w:rFonts w:ascii="Cambria" w:hAnsi="Cambria" w:cstheme="minorHAnsi"/>
          <w:sz w:val="18"/>
          <w:szCs w:val="18"/>
        </w:rPr>
        <w:t xml:space="preserve">“VERIFICAN ESTRATEGIAS INSTITUCIONALES PARA EVITAR CONTAGIOS DE COVID 19 EN HOSPITAL FEDERICO MORA”. </w:t>
      </w:r>
      <w:bookmarkEnd w:id="2"/>
      <w:r w:rsidRPr="002F0CBB">
        <w:rPr>
          <w:rFonts w:ascii="Cambria" w:hAnsi="Cambria" w:cstheme="minorHAnsi"/>
          <w:sz w:val="18"/>
          <w:szCs w:val="18"/>
        </w:rPr>
        <w:t xml:space="preserve">Disponible en: </w:t>
      </w:r>
      <w:r w:rsidR="00000000">
        <w:fldChar w:fldCharType="begin"/>
      </w:r>
      <w:r w:rsidR="00000000">
        <w:instrText>HYPERLINK "https://www.pdh.org.gt/verifican-estrategias-institucionales-para-evitar-contagios-de-covid-19-en-hospital-federico-mora/"</w:instrText>
      </w:r>
      <w:r w:rsidR="00000000">
        <w:fldChar w:fldCharType="separate"/>
      </w:r>
      <w:r w:rsidRPr="002F0CBB">
        <w:rPr>
          <w:rStyle w:val="Hyperlink"/>
          <w:rFonts w:ascii="Cambria" w:hAnsi="Cambria" w:cstheme="minorHAnsi"/>
          <w:sz w:val="18"/>
          <w:szCs w:val="18"/>
        </w:rPr>
        <w:t>https://www.pdh.org.gt/verifican-estrategias-institucionales-para-evitar-contagios-de-covid-19-en-hospital-federico-mora/</w:t>
      </w:r>
      <w:r w:rsidR="00000000">
        <w:rPr>
          <w:rStyle w:val="Hyperlink"/>
          <w:rFonts w:ascii="Cambria" w:hAnsi="Cambria" w:cstheme="minorHAnsi"/>
          <w:sz w:val="18"/>
          <w:szCs w:val="18"/>
        </w:rPr>
        <w:fldChar w:fldCharType="end"/>
      </w:r>
      <w:r w:rsidRPr="002F0CBB">
        <w:rPr>
          <w:rFonts w:ascii="Cambria" w:hAnsi="Cambria" w:cstheme="minorHAnsi"/>
          <w:sz w:val="18"/>
          <w:szCs w:val="18"/>
        </w:rPr>
        <w:t xml:space="preserve"> y </w:t>
      </w:r>
      <w:bookmarkStart w:id="3" w:name="_Hlk39224449"/>
      <w:r w:rsidRPr="002F0CBB">
        <w:rPr>
          <w:rFonts w:ascii="Cambria" w:hAnsi="Cambria" w:cstheme="minorHAnsi"/>
          <w:sz w:val="18"/>
          <w:szCs w:val="18"/>
        </w:rPr>
        <w:t>PDH, “VERIFICAN PROTOCOLO DE SEGURIDAD Y PREVENCIÓN EN HOSPITAL DE SALUD MENTAL FEDERICO MORA”</w:t>
      </w:r>
      <w:bookmarkEnd w:id="3"/>
      <w:r w:rsidRPr="002F0CBB">
        <w:rPr>
          <w:rFonts w:ascii="Cambria" w:hAnsi="Cambria" w:cstheme="minorHAnsi"/>
          <w:sz w:val="18"/>
          <w:szCs w:val="18"/>
        </w:rPr>
        <w:t xml:space="preserve">. Disponible en: </w:t>
      </w:r>
      <w:r w:rsidR="00000000">
        <w:fldChar w:fldCharType="begin"/>
      </w:r>
      <w:r w:rsidR="00000000">
        <w:instrText>HYPERLINK "https://www.pdh.org.gt/verifican-protocolo-de-seguridad-y-prevencion-en-hospital-de-salud-mental-federico-mora/"</w:instrText>
      </w:r>
      <w:r w:rsidR="00000000">
        <w:fldChar w:fldCharType="separate"/>
      </w:r>
      <w:r w:rsidRPr="002F0CBB">
        <w:rPr>
          <w:rStyle w:val="Hyperlink"/>
          <w:rFonts w:ascii="Cambria" w:hAnsi="Cambria" w:cstheme="minorHAnsi"/>
          <w:sz w:val="18"/>
          <w:szCs w:val="18"/>
        </w:rPr>
        <w:t>https://www.pdh.org.gt/verifican-protocolo-de-seguridad-y-prevencion-en-hospital-de-salud-mental-federico-mora/</w:t>
      </w:r>
      <w:r w:rsidR="00000000">
        <w:rPr>
          <w:rStyle w:val="Hyperlink"/>
          <w:rFonts w:ascii="Cambria" w:hAnsi="Cambria" w:cstheme="minorHAnsi"/>
          <w:sz w:val="18"/>
          <w:szCs w:val="18"/>
        </w:rPr>
        <w:fldChar w:fldCharType="end"/>
      </w:r>
      <w:r w:rsidRPr="002F0CBB">
        <w:rPr>
          <w:rFonts w:ascii="Cambria" w:hAnsi="Cambria" w:cstheme="minorHAnsi"/>
          <w:sz w:val="18"/>
          <w:szCs w:val="18"/>
        </w:rPr>
        <w:t>.</w:t>
      </w:r>
    </w:p>
  </w:footnote>
  <w:footnote w:id="29">
    <w:p w14:paraId="4F754D97" w14:textId="5B33AFC4"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Quimy de León, </w:t>
      </w:r>
      <w:r w:rsidRPr="002F0CBB">
        <w:rPr>
          <w:rFonts w:ascii="Cambria" w:hAnsi="Cambria" w:cstheme="minorHAnsi"/>
          <w:i/>
          <w:iCs/>
          <w:sz w:val="18"/>
          <w:szCs w:val="18"/>
        </w:rPr>
        <w:t>supra</w:t>
      </w:r>
      <w:r w:rsidRPr="002F0CBB">
        <w:rPr>
          <w:rFonts w:ascii="Cambria" w:hAnsi="Cambria" w:cstheme="minorHAnsi"/>
          <w:sz w:val="18"/>
          <w:szCs w:val="18"/>
        </w:rPr>
        <w:t xml:space="preserve"> nota 16.</w:t>
      </w:r>
    </w:p>
  </w:footnote>
  <w:footnote w:id="30">
    <w:p w14:paraId="622E7D82" w14:textId="77777777" w:rsidR="00634642" w:rsidRPr="002F0CBB" w:rsidRDefault="00634642" w:rsidP="002F0CBB">
      <w:pPr>
        <w:pStyle w:val="FootnoteText"/>
        <w:jc w:val="both"/>
        <w:rPr>
          <w:rFonts w:ascii="Cambria" w:hAnsi="Cambria" w:cstheme="minorHAnsi"/>
          <w:sz w:val="18"/>
          <w:szCs w:val="18"/>
        </w:rPr>
      </w:pPr>
      <w:r w:rsidRPr="002F0CBB">
        <w:rPr>
          <w:rStyle w:val="FootnoteReference"/>
          <w:rFonts w:ascii="Cambria" w:hAnsi="Cambria" w:cstheme="minorHAnsi"/>
          <w:sz w:val="18"/>
          <w:szCs w:val="18"/>
        </w:rPr>
        <w:footnoteRef/>
      </w:r>
      <w:r w:rsidRPr="002F0CBB">
        <w:rPr>
          <w:rFonts w:ascii="Cambria" w:hAnsi="Cambria" w:cstheme="minorHAnsi"/>
          <w:sz w:val="18"/>
          <w:szCs w:val="18"/>
        </w:rPr>
        <w:t xml:space="preserve"> </w:t>
      </w:r>
      <w:bookmarkStart w:id="4" w:name="_Hlk39224469"/>
      <w:r w:rsidRPr="002F0CBB">
        <w:rPr>
          <w:rFonts w:ascii="Cambria" w:hAnsi="Cambria" w:cstheme="minorHAnsi"/>
          <w:sz w:val="18"/>
          <w:szCs w:val="18"/>
        </w:rPr>
        <w:t>Lucero Sapalú, “Ministerio de Salud sin pronunciarse sobre supuesto incidente en el hospital del Parque La Industria”. El Periódico (Abril 24, 2020)</w:t>
      </w:r>
      <w:bookmarkEnd w:id="4"/>
      <w:r w:rsidRPr="002F0CBB">
        <w:rPr>
          <w:rFonts w:ascii="Cambria" w:hAnsi="Cambria" w:cstheme="minorHAnsi"/>
          <w:sz w:val="18"/>
          <w:szCs w:val="18"/>
        </w:rPr>
        <w:t xml:space="preserve">. Disponible en: </w:t>
      </w:r>
      <w:r w:rsidR="00000000">
        <w:fldChar w:fldCharType="begin"/>
      </w:r>
      <w:r w:rsidR="00000000">
        <w:instrText>HYPERLINK "https://elperiodico.com.gt/nacion/2020/04/24/ministerio-de-salud-sin-pronunciarse-sobre-supuesto-incidente-en-el-hospital-del-parque-la-industria2/" \t "_blank"</w:instrText>
      </w:r>
      <w:r w:rsidR="00000000">
        <w:fldChar w:fldCharType="separate"/>
      </w:r>
      <w:r w:rsidRPr="002F0CBB">
        <w:rPr>
          <w:rStyle w:val="Hyperlink"/>
          <w:rFonts w:ascii="Cambria" w:hAnsi="Cambria" w:cstheme="minorHAnsi"/>
          <w:sz w:val="18"/>
          <w:szCs w:val="18"/>
        </w:rPr>
        <w:t>https://elperiodico.com.gt/nacion/2020/04/24/ministerio-de-salud-sin-pronunciarse-sobre-supuesto-incidente-en-el-hospital-del-parque-la-industria2/</w:t>
      </w:r>
      <w:r w:rsidR="00000000">
        <w:rPr>
          <w:rStyle w:val="Hyperlink"/>
          <w:rFonts w:ascii="Cambria" w:hAnsi="Cambria" w:cstheme="minorHAnsi"/>
          <w:sz w:val="18"/>
          <w:szCs w:val="18"/>
        </w:rPr>
        <w:fldChar w:fldCharType="end"/>
      </w:r>
      <w:r w:rsidRPr="002F0CBB">
        <w:rPr>
          <w:rFonts w:ascii="Cambria" w:hAnsi="Cambria" w:cstheme="minorHAnsi"/>
          <w:sz w:val="18"/>
          <w:szCs w:val="18"/>
        </w:rPr>
        <w:t>.</w:t>
      </w:r>
    </w:p>
  </w:footnote>
  <w:footnote w:id="31">
    <w:p w14:paraId="2C91D465" w14:textId="0D3CF1EE"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Quimy de León, </w:t>
      </w:r>
      <w:r w:rsidRPr="002F0CBB">
        <w:rPr>
          <w:rFonts w:ascii="Cambria" w:hAnsi="Cambria" w:cstheme="minorHAnsi"/>
          <w:i/>
          <w:iCs/>
          <w:sz w:val="18"/>
          <w:szCs w:val="18"/>
        </w:rPr>
        <w:t>supra</w:t>
      </w:r>
      <w:r w:rsidRPr="002F0CBB">
        <w:rPr>
          <w:rFonts w:ascii="Cambria" w:hAnsi="Cambria" w:cstheme="minorHAnsi"/>
          <w:sz w:val="18"/>
          <w:szCs w:val="18"/>
        </w:rPr>
        <w:t xml:space="preserve"> nota 16.</w:t>
      </w:r>
    </w:p>
  </w:footnote>
  <w:footnote w:id="32">
    <w:p w14:paraId="49C5B196" w14:textId="4AAFBA49"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Testimonio del personal del hospital, proporcionado a DRI el 22 de abril, 2020. </w:t>
      </w:r>
      <w:r w:rsidRPr="002F0CBB">
        <w:rPr>
          <w:rFonts w:ascii="Cambria" w:hAnsi="Cambria" w:cstheme="minorHAnsi"/>
          <w:i/>
          <w:iCs/>
          <w:sz w:val="18"/>
          <w:szCs w:val="18"/>
        </w:rPr>
        <w:t>Véase también</w:t>
      </w:r>
      <w:r w:rsidRPr="002F0CBB">
        <w:rPr>
          <w:rFonts w:ascii="Cambria" w:hAnsi="Cambria" w:cstheme="minorHAnsi"/>
          <w:sz w:val="18"/>
          <w:szCs w:val="18"/>
        </w:rPr>
        <w:t xml:space="preserve"> Quimy de León,</w:t>
      </w:r>
      <w:r w:rsidRPr="002F0CBB">
        <w:rPr>
          <w:rFonts w:ascii="Cambria" w:hAnsi="Cambria" w:cstheme="minorHAnsi"/>
          <w:i/>
          <w:iCs/>
          <w:sz w:val="18"/>
          <w:szCs w:val="18"/>
        </w:rPr>
        <w:t xml:space="preserve"> supra</w:t>
      </w:r>
      <w:r w:rsidRPr="002F0CBB">
        <w:rPr>
          <w:rFonts w:ascii="Cambria" w:hAnsi="Cambria" w:cstheme="minorHAnsi"/>
          <w:sz w:val="18"/>
          <w:szCs w:val="18"/>
        </w:rPr>
        <w:t xml:space="preserve"> nota 16.</w:t>
      </w:r>
    </w:p>
  </w:footnote>
  <w:footnote w:id="33">
    <w:p w14:paraId="102EB50F" w14:textId="77777777" w:rsidR="00634642" w:rsidRPr="002F0CBB" w:rsidRDefault="00634642" w:rsidP="002F0CBB">
      <w:pPr>
        <w:pStyle w:val="FootnoteText"/>
        <w:jc w:val="both"/>
        <w:rPr>
          <w:rFonts w:ascii="Cambria" w:hAnsi="Cambria" w:cstheme="minorHAnsi"/>
          <w:sz w:val="18"/>
          <w:szCs w:val="18"/>
        </w:rPr>
      </w:pPr>
      <w:r w:rsidRPr="002F0CBB">
        <w:rPr>
          <w:rStyle w:val="FootnoteReference"/>
          <w:rFonts w:ascii="Cambria" w:hAnsi="Cambria" w:cstheme="minorHAnsi"/>
          <w:sz w:val="18"/>
          <w:szCs w:val="18"/>
        </w:rPr>
        <w:footnoteRef/>
      </w:r>
      <w:r w:rsidRPr="002F0CBB">
        <w:rPr>
          <w:rFonts w:ascii="Cambria" w:hAnsi="Cambria" w:cstheme="minorHAnsi"/>
          <w:sz w:val="18"/>
          <w:szCs w:val="18"/>
        </w:rPr>
        <w:t xml:space="preserve"> </w:t>
      </w:r>
      <w:bookmarkStart w:id="5" w:name="_Hlk39224498"/>
      <w:r w:rsidRPr="002F0CBB">
        <w:rPr>
          <w:rFonts w:ascii="Cambria" w:hAnsi="Cambria" w:cstheme="minorHAnsi"/>
          <w:sz w:val="18"/>
          <w:szCs w:val="18"/>
        </w:rPr>
        <w:t xml:space="preserve">Hedy Quino Tzoc, “Les realizan prueba por COVID-19 a 51 personas en el Federico Mora”. La hora (Abril 24, 2020). </w:t>
      </w:r>
      <w:bookmarkEnd w:id="5"/>
      <w:r w:rsidRPr="002F0CBB">
        <w:rPr>
          <w:rFonts w:ascii="Cambria" w:hAnsi="Cambria" w:cstheme="minorHAnsi"/>
          <w:sz w:val="18"/>
          <w:szCs w:val="18"/>
        </w:rPr>
        <w:t xml:space="preserve">Disponible en: </w:t>
      </w:r>
      <w:r w:rsidR="00000000">
        <w:fldChar w:fldCharType="begin"/>
      </w:r>
      <w:r w:rsidR="00000000">
        <w:instrText>HYPERLINK "https://lahora.gt/les-realizan-prueba-por-covid-19-a-51-personas-en-el-federico-mora/"</w:instrText>
      </w:r>
      <w:r w:rsidR="00000000">
        <w:fldChar w:fldCharType="separate"/>
      </w:r>
      <w:r w:rsidRPr="002F0CBB">
        <w:rPr>
          <w:rStyle w:val="Hyperlink"/>
          <w:rFonts w:ascii="Cambria" w:hAnsi="Cambria" w:cstheme="minorHAnsi"/>
          <w:sz w:val="18"/>
          <w:szCs w:val="18"/>
        </w:rPr>
        <w:t>https://lahora.gt/les-realizan-prueba-por-covid-19-a-51-personas-en-el-federico-mora/</w:t>
      </w:r>
      <w:r w:rsidR="00000000">
        <w:rPr>
          <w:rStyle w:val="Hyperlink"/>
          <w:rFonts w:ascii="Cambria" w:hAnsi="Cambria" w:cstheme="minorHAnsi"/>
          <w:sz w:val="18"/>
          <w:szCs w:val="18"/>
        </w:rPr>
        <w:fldChar w:fldCharType="end"/>
      </w:r>
      <w:r w:rsidRPr="002F0CBB">
        <w:rPr>
          <w:rFonts w:ascii="Cambria" w:hAnsi="Cambria" w:cstheme="minorHAnsi"/>
          <w:sz w:val="18"/>
          <w:szCs w:val="18"/>
        </w:rPr>
        <w:t>.</w:t>
      </w:r>
    </w:p>
  </w:footnote>
  <w:footnote w:id="34">
    <w:p w14:paraId="4736BD08" w14:textId="574E2584" w:rsidR="00634642" w:rsidRPr="002F0CBB" w:rsidRDefault="00634642" w:rsidP="002F0CBB">
      <w:pPr>
        <w:pStyle w:val="FootnoteText"/>
        <w:rPr>
          <w:rFonts w:ascii="Cambria" w:hAnsi="Cambria" w:cstheme="minorHAnsi"/>
          <w:sz w:val="18"/>
          <w:szCs w:val="18"/>
        </w:rPr>
      </w:pPr>
      <w:r w:rsidRPr="002F0CBB">
        <w:rPr>
          <w:rStyle w:val="FootnoteReference"/>
          <w:rFonts w:ascii="Cambria" w:hAnsi="Cambria" w:cstheme="minorHAnsi"/>
          <w:sz w:val="18"/>
          <w:szCs w:val="18"/>
        </w:rPr>
        <w:footnoteRef/>
      </w:r>
      <w:r w:rsidRPr="002F0CBB">
        <w:rPr>
          <w:rFonts w:ascii="Cambria" w:hAnsi="Cambria" w:cstheme="minorHAnsi"/>
          <w:sz w:val="18"/>
          <w:szCs w:val="18"/>
        </w:rPr>
        <w:t xml:space="preserve"> </w:t>
      </w:r>
      <w:r w:rsidRPr="002F0CBB">
        <w:rPr>
          <w:rFonts w:ascii="Cambria" w:hAnsi="Cambria" w:cstheme="minorHAnsi"/>
          <w:sz w:val="18"/>
          <w:szCs w:val="18"/>
        </w:rPr>
        <w:t>Entrevista con Silvia Quan, abril 2020.</w:t>
      </w:r>
    </w:p>
  </w:footnote>
  <w:footnote w:id="35">
    <w:p w14:paraId="4041BEC1" w14:textId="0CB098E0"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Quimy de León, </w:t>
      </w:r>
      <w:r w:rsidRPr="002F0CBB">
        <w:rPr>
          <w:rFonts w:ascii="Cambria" w:hAnsi="Cambria" w:cstheme="minorHAnsi"/>
          <w:i/>
          <w:iCs/>
          <w:sz w:val="18"/>
          <w:szCs w:val="18"/>
        </w:rPr>
        <w:t>supra</w:t>
      </w:r>
      <w:r w:rsidRPr="002F0CBB">
        <w:rPr>
          <w:rFonts w:ascii="Cambria" w:hAnsi="Cambria" w:cstheme="minorHAnsi"/>
          <w:sz w:val="18"/>
          <w:szCs w:val="18"/>
        </w:rPr>
        <w:t xml:space="preserve"> nota 16.</w:t>
      </w:r>
    </w:p>
  </w:footnote>
  <w:footnote w:id="36">
    <w:p w14:paraId="5E6A6D79" w14:textId="5FD5A395" w:rsidR="00634642" w:rsidRPr="002F0CBB" w:rsidRDefault="00634642" w:rsidP="002F0CBB">
      <w:pPr>
        <w:pStyle w:val="FootnoteText"/>
        <w:rPr>
          <w:rFonts w:ascii="Cambria" w:hAnsi="Cambria" w:cstheme="minorHAnsi"/>
          <w:sz w:val="18"/>
          <w:szCs w:val="18"/>
        </w:rPr>
      </w:pPr>
      <w:r w:rsidRPr="002F0CBB">
        <w:rPr>
          <w:rStyle w:val="FootnoteReference"/>
          <w:rFonts w:ascii="Cambria" w:hAnsi="Cambria" w:cstheme="minorHAnsi"/>
          <w:sz w:val="18"/>
          <w:szCs w:val="18"/>
        </w:rPr>
        <w:footnoteRef/>
      </w:r>
      <w:r w:rsidRPr="002F0CBB">
        <w:rPr>
          <w:rFonts w:ascii="Cambria" w:hAnsi="Cambria" w:cstheme="minorHAnsi"/>
          <w:sz w:val="18"/>
          <w:szCs w:val="18"/>
        </w:rPr>
        <w:t xml:space="preserve"> </w:t>
      </w:r>
      <w:r w:rsidRPr="002F0CBB">
        <w:rPr>
          <w:rFonts w:ascii="Cambria" w:hAnsi="Cambria" w:cstheme="minorHAnsi"/>
          <w:sz w:val="18"/>
          <w:szCs w:val="18"/>
        </w:rPr>
        <w:t>Entrevista con un enfermero del Hospital Federico Mora, febrero 2020.</w:t>
      </w:r>
    </w:p>
  </w:footnote>
  <w:footnote w:id="37">
    <w:p w14:paraId="453D8790" w14:textId="4F650DA4" w:rsidR="00634642" w:rsidRPr="002F0CBB" w:rsidRDefault="00634642" w:rsidP="002F0CBB">
      <w:pPr>
        <w:pStyle w:val="FootnoteText"/>
        <w:rPr>
          <w:rFonts w:ascii="Cambria" w:hAnsi="Cambria" w:cstheme="minorHAnsi"/>
          <w:sz w:val="18"/>
          <w:szCs w:val="18"/>
        </w:rPr>
      </w:pPr>
      <w:r w:rsidRPr="002F0CBB">
        <w:rPr>
          <w:rStyle w:val="FootnoteReference"/>
          <w:rFonts w:ascii="Cambria" w:hAnsi="Cambria" w:cstheme="minorHAnsi"/>
          <w:sz w:val="18"/>
          <w:szCs w:val="18"/>
        </w:rPr>
        <w:footnoteRef/>
      </w:r>
      <w:r w:rsidRPr="002F0CBB">
        <w:rPr>
          <w:rFonts w:ascii="Cambria" w:hAnsi="Cambria" w:cstheme="minorHAnsi"/>
          <w:sz w:val="18"/>
          <w:szCs w:val="18"/>
        </w:rPr>
        <w:t xml:space="preserve"> </w:t>
      </w:r>
      <w:r w:rsidRPr="002F0CBB">
        <w:rPr>
          <w:rFonts w:ascii="Cambria" w:hAnsi="Cambria" w:cstheme="minorHAnsi"/>
          <w:sz w:val="18"/>
          <w:szCs w:val="18"/>
        </w:rPr>
        <w:t>Entrevista con Silvia Quan, abril 2020.</w:t>
      </w:r>
    </w:p>
  </w:footnote>
  <w:footnote w:id="38">
    <w:p w14:paraId="7F52EFBB" w14:textId="1B242C14" w:rsidR="00634642" w:rsidRPr="002F0CBB" w:rsidRDefault="00634642" w:rsidP="002F0CBB">
      <w:pPr>
        <w:pStyle w:val="FootnoteText"/>
        <w:jc w:val="both"/>
        <w:rPr>
          <w:rFonts w:ascii="Cambria" w:hAnsi="Cambria" w:cstheme="minorHAnsi"/>
          <w:sz w:val="18"/>
          <w:szCs w:val="18"/>
        </w:rPr>
      </w:pPr>
      <w:r w:rsidRPr="002F0CBB">
        <w:rPr>
          <w:rStyle w:val="FootnoteReference"/>
          <w:rFonts w:ascii="Cambria" w:hAnsi="Cambria" w:cstheme="minorHAnsi"/>
          <w:sz w:val="18"/>
          <w:szCs w:val="18"/>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Hedy Quino Tzoc, </w:t>
      </w:r>
      <w:r w:rsidRPr="002F0CBB">
        <w:rPr>
          <w:rFonts w:ascii="Cambria" w:hAnsi="Cambria" w:cstheme="minorHAnsi"/>
          <w:i/>
          <w:iCs/>
          <w:sz w:val="18"/>
          <w:szCs w:val="18"/>
        </w:rPr>
        <w:t>supra</w:t>
      </w:r>
      <w:r w:rsidRPr="002F0CBB">
        <w:rPr>
          <w:rFonts w:ascii="Cambria" w:hAnsi="Cambria" w:cstheme="minorHAnsi"/>
          <w:sz w:val="18"/>
          <w:szCs w:val="18"/>
        </w:rPr>
        <w:t xml:space="preserve"> nota 33.</w:t>
      </w:r>
    </w:p>
  </w:footnote>
  <w:footnote w:id="39">
    <w:p w14:paraId="2BC3D8FD" w14:textId="2EAB2C63" w:rsidR="00634642" w:rsidRPr="002F0CBB" w:rsidRDefault="00634642" w:rsidP="002F0CBB">
      <w:pPr>
        <w:pStyle w:val="FootnoteText"/>
        <w:jc w:val="both"/>
        <w:rPr>
          <w:rFonts w:ascii="Cambria" w:hAnsi="Cambria" w:cstheme="minorHAnsi"/>
          <w:sz w:val="18"/>
          <w:szCs w:val="18"/>
        </w:rPr>
      </w:pPr>
      <w:r w:rsidRPr="002F0CBB">
        <w:rPr>
          <w:rStyle w:val="FootnoteReference"/>
          <w:rFonts w:ascii="Cambria" w:hAnsi="Cambria" w:cstheme="minorHAnsi"/>
          <w:sz w:val="18"/>
          <w:szCs w:val="18"/>
        </w:rPr>
        <w:footnoteRef/>
      </w:r>
      <w:r w:rsidRPr="002F0CBB">
        <w:rPr>
          <w:rFonts w:ascii="Cambria" w:hAnsi="Cambria" w:cstheme="minorHAnsi"/>
          <w:sz w:val="18"/>
          <w:szCs w:val="18"/>
        </w:rPr>
        <w:t xml:space="preserve"> </w:t>
      </w:r>
      <w:r w:rsidRPr="002F0CBB">
        <w:rPr>
          <w:rFonts w:ascii="Cambria" w:hAnsi="Cambria" w:cstheme="minorHAnsi"/>
          <w:sz w:val="18"/>
          <w:szCs w:val="18"/>
        </w:rPr>
        <w:t>Ibidem.</w:t>
      </w:r>
    </w:p>
  </w:footnote>
  <w:footnote w:id="40">
    <w:p w14:paraId="226BBD84" w14:textId="4574E04B" w:rsidR="00634642" w:rsidRPr="002F0CBB" w:rsidRDefault="00634642" w:rsidP="002F0CBB">
      <w:pPr>
        <w:pStyle w:val="FootnoteText"/>
        <w:jc w:val="both"/>
        <w:rPr>
          <w:rFonts w:ascii="Cambria" w:hAnsi="Cambria" w:cstheme="minorHAnsi"/>
          <w:sz w:val="18"/>
          <w:szCs w:val="18"/>
        </w:rPr>
      </w:pPr>
      <w:r w:rsidRPr="002F0CBB">
        <w:rPr>
          <w:rStyle w:val="FootnoteReference"/>
          <w:rFonts w:ascii="Cambria" w:hAnsi="Cambria" w:cstheme="minorHAnsi"/>
          <w:sz w:val="18"/>
          <w:szCs w:val="18"/>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ONU, </w:t>
      </w:r>
      <w:r w:rsidRPr="002F0CBB">
        <w:rPr>
          <w:rFonts w:ascii="Cambria" w:hAnsi="Cambria" w:cstheme="minorHAnsi"/>
          <w:i/>
          <w:iCs/>
          <w:sz w:val="18"/>
          <w:szCs w:val="18"/>
        </w:rPr>
        <w:t>supra</w:t>
      </w:r>
      <w:r w:rsidRPr="002F0CBB">
        <w:rPr>
          <w:rFonts w:ascii="Cambria" w:hAnsi="Cambria" w:cstheme="minorHAnsi"/>
          <w:sz w:val="18"/>
          <w:szCs w:val="18"/>
        </w:rPr>
        <w:t xml:space="preserve"> nota 1.</w:t>
      </w:r>
    </w:p>
  </w:footnote>
  <w:footnote w:id="41">
    <w:p w14:paraId="32018A15" w14:textId="3AFDF1D9"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CIDH, </w:t>
      </w:r>
      <w:r w:rsidRPr="002F0CBB">
        <w:rPr>
          <w:rFonts w:ascii="Cambria" w:hAnsi="Cambria" w:cstheme="minorHAnsi"/>
          <w:i/>
          <w:iCs/>
          <w:sz w:val="18"/>
          <w:szCs w:val="18"/>
        </w:rPr>
        <w:t>supra</w:t>
      </w:r>
      <w:r w:rsidRPr="002F0CBB">
        <w:rPr>
          <w:rFonts w:ascii="Cambria" w:hAnsi="Cambria" w:cstheme="minorHAnsi"/>
          <w:sz w:val="18"/>
          <w:szCs w:val="18"/>
        </w:rPr>
        <w:t xml:space="preserve"> nota 5.</w:t>
      </w:r>
    </w:p>
  </w:footnote>
  <w:footnote w:id="42">
    <w:p w14:paraId="5BA7A087" w14:textId="212CF744"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CIDH, </w:t>
      </w:r>
      <w:r w:rsidRPr="002F0CBB">
        <w:rPr>
          <w:rFonts w:ascii="Cambria" w:hAnsi="Cambria" w:cstheme="minorHAnsi"/>
          <w:i/>
          <w:iCs/>
          <w:sz w:val="18"/>
          <w:szCs w:val="18"/>
        </w:rPr>
        <w:t>supra</w:t>
      </w:r>
      <w:r w:rsidRPr="002F0CBB">
        <w:rPr>
          <w:rFonts w:ascii="Cambria" w:hAnsi="Cambria" w:cstheme="minorHAnsi"/>
          <w:sz w:val="18"/>
          <w:szCs w:val="18"/>
        </w:rPr>
        <w:t xml:space="preserve"> nota 18.</w:t>
      </w:r>
    </w:p>
  </w:footnote>
  <w:footnote w:id="43">
    <w:p w14:paraId="3E0D9C0E" w14:textId="2994D897"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“Al respecto, la CIDH destaca que según la evaluación realizada en 2013 por personal psiquiátrico independiente y personal médico del propio hospital, aproximadamente el 75% de los pacientes (sin incluir a aquéllos en conflicto con la ley), no requería permanecer en la institución “por razones psiquiátricas”, y podía integrarse “fácilmente” a la comunidad teniendo servicios de tipo ambulatorio”. CIDH, </w:t>
      </w:r>
      <w:r w:rsidRPr="002F0CBB">
        <w:rPr>
          <w:rFonts w:ascii="Cambria" w:hAnsi="Cambria" w:cstheme="minorHAnsi"/>
          <w:i/>
          <w:iCs/>
          <w:sz w:val="18"/>
          <w:szCs w:val="18"/>
        </w:rPr>
        <w:t>supra</w:t>
      </w:r>
      <w:r w:rsidRPr="002F0CBB">
        <w:rPr>
          <w:rFonts w:ascii="Cambria" w:hAnsi="Cambria" w:cstheme="minorHAnsi"/>
          <w:sz w:val="18"/>
          <w:szCs w:val="18"/>
        </w:rPr>
        <w:t xml:space="preserve"> nota 18.</w:t>
      </w:r>
    </w:p>
  </w:footnote>
  <w:footnote w:id="44">
    <w:p w14:paraId="5E89A7B4" w14:textId="455EECB8" w:rsidR="00634642" w:rsidRPr="002F0CBB" w:rsidRDefault="00634642" w:rsidP="002F0CBB">
      <w:pPr>
        <w:pStyle w:val="FootnoteText"/>
        <w:rPr>
          <w:rFonts w:ascii="Cambria" w:hAnsi="Cambria" w:cstheme="minorHAnsi"/>
          <w:sz w:val="18"/>
          <w:szCs w:val="18"/>
        </w:rPr>
      </w:pPr>
      <w:r w:rsidRPr="002F0CBB">
        <w:rPr>
          <w:rStyle w:val="FootnoteReference"/>
          <w:rFonts w:ascii="Cambria" w:hAnsi="Cambria" w:cstheme="minorHAnsi"/>
          <w:sz w:val="18"/>
          <w:szCs w:val="18"/>
        </w:rPr>
        <w:footnoteRef/>
      </w:r>
      <w:r w:rsidRPr="002F0CBB">
        <w:rPr>
          <w:rFonts w:ascii="Cambria" w:hAnsi="Cambria" w:cstheme="minorHAnsi"/>
          <w:sz w:val="18"/>
          <w:szCs w:val="18"/>
        </w:rPr>
        <w:t xml:space="preserve"> </w:t>
      </w:r>
      <w:r w:rsidRPr="002F0CBB">
        <w:rPr>
          <w:rFonts w:ascii="Cambria" w:hAnsi="Cambria" w:cstheme="minorHAnsi"/>
          <w:sz w:val="18"/>
          <w:szCs w:val="18"/>
        </w:rPr>
        <w:t>CIDH, “La Situación de Derechos Humanos en Guatemala” (2017), párr. 468. Disponible en</w:t>
      </w:r>
      <w:r w:rsidR="00000000">
        <w:fldChar w:fldCharType="begin"/>
      </w:r>
      <w:r w:rsidR="00000000">
        <w:instrText>HYPERLINK "http://www.oas.org/es/cidh/informes/pdfs/Guatemala2017-es.pdf" \h</w:instrText>
      </w:r>
      <w:r w:rsidR="00000000">
        <w:fldChar w:fldCharType="separate"/>
      </w:r>
      <w:r w:rsidRPr="002F0CBB">
        <w:rPr>
          <w:rFonts w:ascii="Cambria" w:hAnsi="Cambria" w:cstheme="minorHAnsi"/>
          <w:sz w:val="18"/>
          <w:szCs w:val="18"/>
        </w:rPr>
        <w:t xml:space="preserve"> </w:t>
      </w:r>
      <w:r w:rsidR="00000000">
        <w:rPr>
          <w:rFonts w:ascii="Cambria" w:hAnsi="Cambria" w:cstheme="minorHAnsi"/>
          <w:sz w:val="18"/>
          <w:szCs w:val="18"/>
        </w:rPr>
        <w:fldChar w:fldCharType="end"/>
      </w:r>
      <w:hyperlink r:id="rId4">
        <w:r w:rsidRPr="002F0CBB">
          <w:rPr>
            <w:rFonts w:ascii="Cambria" w:hAnsi="Cambria" w:cstheme="minorHAnsi"/>
            <w:color w:val="1155CC"/>
            <w:sz w:val="18"/>
            <w:szCs w:val="18"/>
            <w:u w:val="single"/>
          </w:rPr>
          <w:t>http://www.oas.org/es/cidh/informes/pdfs/Guatemala2017-es.pdf</w:t>
        </w:r>
      </w:hyperlink>
      <w:r w:rsidRPr="002F0CBB">
        <w:rPr>
          <w:rFonts w:ascii="Cambria" w:hAnsi="Cambria" w:cstheme="minorHAnsi"/>
          <w:sz w:val="18"/>
          <w:szCs w:val="18"/>
        </w:rPr>
        <w:t>.</w:t>
      </w:r>
    </w:p>
  </w:footnote>
  <w:footnote w:id="45">
    <w:p w14:paraId="7FCE9F76" w14:textId="18786894" w:rsidR="00634642" w:rsidRPr="002F0CBB" w:rsidRDefault="00634642" w:rsidP="002F0CBB">
      <w:pPr>
        <w:pStyle w:val="FootnoteText"/>
        <w:rPr>
          <w:rFonts w:ascii="Cambria" w:hAnsi="Cambria" w:cstheme="minorHAnsi"/>
          <w:sz w:val="18"/>
          <w:szCs w:val="18"/>
          <w:lang w:val="en-US"/>
        </w:rPr>
      </w:pPr>
      <w:r w:rsidRPr="002F0CBB">
        <w:rPr>
          <w:rStyle w:val="FootnoteReference"/>
          <w:rFonts w:ascii="Cambria" w:hAnsi="Cambria" w:cstheme="minorHAnsi"/>
          <w:sz w:val="18"/>
          <w:szCs w:val="18"/>
        </w:rPr>
        <w:footnoteRef/>
      </w:r>
      <w:r w:rsidRPr="002F0CBB">
        <w:rPr>
          <w:rFonts w:ascii="Cambria" w:hAnsi="Cambria" w:cstheme="minorHAnsi"/>
          <w:sz w:val="18"/>
          <w:szCs w:val="18"/>
          <w:lang w:val="en-US"/>
        </w:rPr>
        <w:t xml:space="preserve"> CIDH, </w:t>
      </w:r>
      <w:r w:rsidRPr="002F0CBB">
        <w:rPr>
          <w:rFonts w:ascii="Cambria" w:hAnsi="Cambria" w:cstheme="minorHAnsi"/>
          <w:i/>
          <w:iCs/>
          <w:sz w:val="18"/>
          <w:szCs w:val="18"/>
          <w:lang w:val="en-US"/>
        </w:rPr>
        <w:t>supra</w:t>
      </w:r>
      <w:r w:rsidRPr="002F0CBB">
        <w:rPr>
          <w:rFonts w:ascii="Cambria" w:hAnsi="Cambria" w:cstheme="minorHAnsi"/>
          <w:sz w:val="18"/>
          <w:szCs w:val="18"/>
          <w:lang w:val="en-US"/>
        </w:rPr>
        <w:t xml:space="preserve"> nota 5.</w:t>
      </w:r>
    </w:p>
  </w:footnote>
  <w:footnote w:id="46">
    <w:p w14:paraId="21E6A546" w14:textId="77777777" w:rsidR="00634642" w:rsidRPr="002F0CBB" w:rsidRDefault="00634642" w:rsidP="002F0CBB">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lang w:val="en-US"/>
        </w:rPr>
        <w:t xml:space="preserve"> Judge David L. Bazelon Center for Mental Health Law, </w:t>
      </w:r>
      <w:r w:rsidRPr="002F0CBB">
        <w:rPr>
          <w:rFonts w:ascii="Cambria" w:hAnsi="Cambria" w:cstheme="minorHAnsi"/>
          <w:i/>
          <w:iCs/>
          <w:sz w:val="18"/>
          <w:szCs w:val="18"/>
          <w:lang w:val="en-US"/>
        </w:rPr>
        <w:t>supra</w:t>
      </w:r>
      <w:r w:rsidRPr="002F0CBB">
        <w:rPr>
          <w:rFonts w:ascii="Cambria" w:hAnsi="Cambria" w:cstheme="minorHAnsi"/>
          <w:sz w:val="18"/>
          <w:szCs w:val="18"/>
          <w:lang w:val="en-US"/>
        </w:rPr>
        <w:t xml:space="preserve"> nota 15. </w:t>
      </w:r>
      <w:r w:rsidRPr="002F0CBB">
        <w:rPr>
          <w:rFonts w:ascii="Cambria" w:hAnsi="Cambria" w:cstheme="minorHAnsi"/>
          <w:i/>
          <w:iCs/>
          <w:sz w:val="18"/>
          <w:szCs w:val="18"/>
        </w:rPr>
        <w:t>Véase también</w:t>
      </w:r>
      <w:r w:rsidRPr="002F0CBB">
        <w:rPr>
          <w:rFonts w:ascii="Cambria" w:hAnsi="Cambria" w:cstheme="minorHAnsi"/>
          <w:sz w:val="18"/>
          <w:szCs w:val="18"/>
        </w:rPr>
        <w:t>, International Disability Alliance, “Hacia una respuesta inclusiva de la discapacidad frente al COVID19: 10 recomendaciones de la Alianza Internacional de Discapacidad”. Disponible en:</w:t>
      </w:r>
    </w:p>
    <w:p w14:paraId="08A4B01A" w14:textId="19F5BEA1" w:rsidR="00634642" w:rsidRPr="002F0CBB" w:rsidRDefault="00000000" w:rsidP="002F0CBB">
      <w:pPr>
        <w:spacing w:after="0" w:line="240" w:lineRule="auto"/>
        <w:jc w:val="both"/>
        <w:rPr>
          <w:rFonts w:ascii="Cambria" w:hAnsi="Cambria" w:cstheme="minorHAnsi"/>
          <w:sz w:val="18"/>
          <w:szCs w:val="18"/>
        </w:rPr>
      </w:pPr>
      <w:hyperlink r:id="rId5" w:history="1">
        <w:r w:rsidR="00634642" w:rsidRPr="002F0CBB">
          <w:rPr>
            <w:rStyle w:val="Hyperlink"/>
            <w:rFonts w:ascii="Cambria" w:hAnsi="Cambria" w:cstheme="minorHAnsi"/>
            <w:sz w:val="18"/>
            <w:szCs w:val="18"/>
          </w:rPr>
          <w:t>http://www.internationaldisabilityalliance.org/sites/default/files/ida_recomendaciones_para_una_respuesta_inclusiva_de_la_discapacidad_frente_al_covid19.pdf</w:t>
        </w:r>
      </w:hyperlink>
      <w:r w:rsidR="00634642" w:rsidRPr="002F0CBB">
        <w:rPr>
          <w:rFonts w:ascii="Cambria" w:hAnsi="Cambria" w:cstheme="minorHAnsi"/>
          <w:sz w:val="18"/>
          <w:szCs w:val="18"/>
        </w:rPr>
        <w:t>.</w:t>
      </w:r>
    </w:p>
  </w:footnote>
  <w:footnote w:id="47">
    <w:p w14:paraId="06A8F89C" w14:textId="77777777" w:rsidR="00243564" w:rsidRPr="002F0CBB" w:rsidRDefault="00243564" w:rsidP="00243564">
      <w:pPr>
        <w:pStyle w:val="FootnoteText"/>
        <w:jc w:val="both"/>
        <w:rPr>
          <w:rFonts w:ascii="Cambria" w:hAnsi="Cambria" w:cstheme="minorHAnsi"/>
          <w:sz w:val="18"/>
          <w:szCs w:val="18"/>
        </w:rPr>
      </w:pPr>
      <w:r w:rsidRPr="002F0CBB">
        <w:rPr>
          <w:rStyle w:val="FootnoteReference"/>
          <w:rFonts w:ascii="Cambria" w:hAnsi="Cambria" w:cstheme="minorHAnsi"/>
          <w:sz w:val="18"/>
          <w:szCs w:val="18"/>
        </w:rPr>
        <w:footnoteRef/>
      </w:r>
      <w:r w:rsidRPr="002F0CBB">
        <w:rPr>
          <w:rFonts w:ascii="Cambria" w:hAnsi="Cambria" w:cstheme="minorHAnsi"/>
          <w:sz w:val="18"/>
          <w:szCs w:val="18"/>
        </w:rPr>
        <w:t xml:space="preserve"> </w:t>
      </w:r>
      <w:bookmarkStart w:id="6" w:name="_Hlk39224643"/>
      <w:r w:rsidRPr="002F0CBB">
        <w:rPr>
          <w:rFonts w:ascii="Cambria" w:hAnsi="Cambria" w:cstheme="minorHAnsi"/>
          <w:sz w:val="18"/>
          <w:szCs w:val="18"/>
        </w:rPr>
        <w:t>Congreso de la República, “Ley de rescate económico a las familias por los efectos causados por el COVID-19”</w:t>
      </w:r>
      <w:bookmarkEnd w:id="6"/>
      <w:r w:rsidRPr="002F0CBB">
        <w:rPr>
          <w:rFonts w:ascii="Cambria" w:hAnsi="Cambria" w:cstheme="minorHAnsi"/>
          <w:sz w:val="18"/>
          <w:szCs w:val="18"/>
        </w:rPr>
        <w:t xml:space="preserve">. Disponible en: </w:t>
      </w:r>
      <w:r w:rsidR="00000000">
        <w:fldChar w:fldCharType="begin"/>
      </w:r>
      <w:r w:rsidR="00000000">
        <w:instrText>HYPERLINK "https://www.congreso.gob.gt/detalle_pdf/decretos/13518"</w:instrText>
      </w:r>
      <w:r w:rsidR="00000000">
        <w:fldChar w:fldCharType="separate"/>
      </w:r>
      <w:r w:rsidRPr="002F0CBB">
        <w:rPr>
          <w:rStyle w:val="Hyperlink"/>
          <w:rFonts w:ascii="Cambria" w:hAnsi="Cambria" w:cstheme="minorHAnsi"/>
          <w:sz w:val="18"/>
          <w:szCs w:val="18"/>
        </w:rPr>
        <w:t>https://www.congreso.gob.gt/detalle_pdf/decretos/13518</w:t>
      </w:r>
      <w:r w:rsidR="00000000">
        <w:rPr>
          <w:rStyle w:val="Hyperlink"/>
          <w:rFonts w:ascii="Cambria" w:hAnsi="Cambria" w:cstheme="minorHAnsi"/>
          <w:sz w:val="18"/>
          <w:szCs w:val="18"/>
        </w:rPr>
        <w:fldChar w:fldCharType="end"/>
      </w:r>
      <w:r w:rsidRPr="002F0CBB">
        <w:rPr>
          <w:rFonts w:ascii="Cambria" w:hAnsi="Cambria" w:cstheme="minorHAnsi"/>
          <w:sz w:val="18"/>
          <w:szCs w:val="18"/>
        </w:rPr>
        <w:t>.</w:t>
      </w:r>
    </w:p>
  </w:footnote>
  <w:footnote w:id="48">
    <w:p w14:paraId="37251D07" w14:textId="77777777" w:rsidR="00243564" w:rsidRPr="002F0CBB" w:rsidRDefault="00243564" w:rsidP="00243564">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Pía Flores, </w:t>
      </w:r>
      <w:r w:rsidRPr="002F0CBB">
        <w:rPr>
          <w:rFonts w:ascii="Cambria" w:hAnsi="Cambria" w:cstheme="minorHAnsi"/>
          <w:i/>
          <w:iCs/>
          <w:sz w:val="18"/>
          <w:szCs w:val="18"/>
        </w:rPr>
        <w:t>supra</w:t>
      </w:r>
      <w:r w:rsidRPr="002F0CBB">
        <w:rPr>
          <w:rFonts w:ascii="Cambria" w:hAnsi="Cambria" w:cstheme="minorHAnsi"/>
          <w:sz w:val="18"/>
          <w:szCs w:val="18"/>
        </w:rPr>
        <w:t xml:space="preserve"> nota 17.</w:t>
      </w:r>
    </w:p>
  </w:footnote>
  <w:footnote w:id="49">
    <w:p w14:paraId="25D7754E" w14:textId="77777777" w:rsidR="00243564" w:rsidRPr="002F0CBB" w:rsidRDefault="00243564" w:rsidP="00243564">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Ibidem. </w:t>
      </w:r>
      <w:r w:rsidRPr="002F0CBB">
        <w:rPr>
          <w:rFonts w:ascii="Cambria" w:hAnsi="Cambria" w:cstheme="minorHAnsi"/>
          <w:i/>
          <w:iCs/>
          <w:sz w:val="18"/>
          <w:szCs w:val="18"/>
        </w:rPr>
        <w:t>Véase también</w:t>
      </w:r>
      <w:r w:rsidRPr="002F0CBB">
        <w:rPr>
          <w:rFonts w:ascii="Cambria" w:hAnsi="Cambria" w:cstheme="minorHAnsi"/>
          <w:sz w:val="18"/>
          <w:szCs w:val="18"/>
        </w:rPr>
        <w:t xml:space="preserve"> Quimy de León, </w:t>
      </w:r>
      <w:r w:rsidRPr="002F0CBB">
        <w:rPr>
          <w:rFonts w:ascii="Cambria" w:hAnsi="Cambria" w:cstheme="minorHAnsi"/>
          <w:i/>
          <w:iCs/>
          <w:sz w:val="18"/>
          <w:szCs w:val="18"/>
        </w:rPr>
        <w:t>supra</w:t>
      </w:r>
      <w:r w:rsidRPr="002F0CBB">
        <w:rPr>
          <w:rFonts w:ascii="Cambria" w:hAnsi="Cambria" w:cstheme="minorHAnsi"/>
          <w:sz w:val="18"/>
          <w:szCs w:val="18"/>
        </w:rPr>
        <w:t xml:space="preserve"> nota 16.</w:t>
      </w:r>
    </w:p>
  </w:footnote>
  <w:footnote w:id="50">
    <w:p w14:paraId="55BBEA0E" w14:textId="77777777" w:rsidR="00243564" w:rsidRPr="002F0CBB" w:rsidRDefault="00243564" w:rsidP="00243564">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Ibidem. </w:t>
      </w:r>
      <w:r w:rsidRPr="002F0CBB">
        <w:rPr>
          <w:rFonts w:ascii="Cambria" w:hAnsi="Cambria" w:cstheme="minorHAnsi"/>
          <w:i/>
          <w:iCs/>
          <w:sz w:val="18"/>
          <w:szCs w:val="18"/>
        </w:rPr>
        <w:t>Véase también</w:t>
      </w:r>
      <w:r w:rsidRPr="002F0CBB">
        <w:rPr>
          <w:rFonts w:ascii="Cambria" w:hAnsi="Cambria" w:cstheme="minorHAnsi"/>
          <w:sz w:val="18"/>
          <w:szCs w:val="18"/>
        </w:rPr>
        <w:t xml:space="preserve"> Quimy de León, </w:t>
      </w:r>
      <w:r w:rsidRPr="002F0CBB">
        <w:rPr>
          <w:rFonts w:ascii="Cambria" w:hAnsi="Cambria" w:cstheme="minorHAnsi"/>
          <w:i/>
          <w:iCs/>
          <w:sz w:val="18"/>
          <w:szCs w:val="18"/>
        </w:rPr>
        <w:t>supra</w:t>
      </w:r>
      <w:r w:rsidRPr="002F0CBB">
        <w:rPr>
          <w:rFonts w:ascii="Cambria" w:hAnsi="Cambria" w:cstheme="minorHAnsi"/>
          <w:sz w:val="18"/>
          <w:szCs w:val="18"/>
        </w:rPr>
        <w:t xml:space="preserve"> nota 16.</w:t>
      </w:r>
    </w:p>
  </w:footnote>
  <w:footnote w:id="51">
    <w:p w14:paraId="250F082F" w14:textId="77777777" w:rsidR="00243564" w:rsidRPr="002F0CBB" w:rsidRDefault="00243564" w:rsidP="00243564">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Pía Flores, </w:t>
      </w:r>
      <w:r w:rsidRPr="002F0CBB">
        <w:rPr>
          <w:rFonts w:ascii="Cambria" w:hAnsi="Cambria" w:cstheme="minorHAnsi"/>
          <w:i/>
          <w:iCs/>
          <w:sz w:val="18"/>
          <w:szCs w:val="18"/>
        </w:rPr>
        <w:t>supra</w:t>
      </w:r>
      <w:r w:rsidRPr="002F0CBB">
        <w:rPr>
          <w:rFonts w:ascii="Cambria" w:hAnsi="Cambria" w:cstheme="minorHAnsi"/>
          <w:sz w:val="18"/>
          <w:szCs w:val="18"/>
        </w:rPr>
        <w:t xml:space="preserve"> nota 17.</w:t>
      </w:r>
    </w:p>
  </w:footnote>
  <w:footnote w:id="52">
    <w:p w14:paraId="4CB9B888" w14:textId="77777777" w:rsidR="00243564" w:rsidRPr="002F0CBB" w:rsidRDefault="00243564" w:rsidP="00243564">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Quimy de León, </w:t>
      </w:r>
      <w:r w:rsidRPr="002F0CBB">
        <w:rPr>
          <w:rFonts w:ascii="Cambria" w:hAnsi="Cambria" w:cstheme="minorHAnsi"/>
          <w:i/>
          <w:iCs/>
          <w:sz w:val="18"/>
          <w:szCs w:val="18"/>
        </w:rPr>
        <w:t>supra</w:t>
      </w:r>
      <w:r w:rsidRPr="002F0CBB">
        <w:rPr>
          <w:rFonts w:ascii="Cambria" w:hAnsi="Cambria" w:cstheme="minorHAnsi"/>
          <w:sz w:val="18"/>
          <w:szCs w:val="18"/>
        </w:rPr>
        <w:t xml:space="preserve"> nota 16.</w:t>
      </w:r>
    </w:p>
  </w:footnote>
  <w:footnote w:id="53">
    <w:p w14:paraId="0BE921DC" w14:textId="77777777" w:rsidR="00243564" w:rsidRPr="002F0CBB" w:rsidRDefault="00243564" w:rsidP="00243564">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bookmarkStart w:id="7" w:name="_Hlk39224561"/>
      <w:r w:rsidRPr="002F0CBB">
        <w:rPr>
          <w:rFonts w:ascii="Cambria" w:hAnsi="Cambria" w:cstheme="minorHAnsi"/>
          <w:sz w:val="18"/>
          <w:szCs w:val="18"/>
        </w:rPr>
        <w:t xml:space="preserve">CONADI, “Comunicado 16-2020”. </w:t>
      </w:r>
      <w:bookmarkEnd w:id="7"/>
      <w:r w:rsidRPr="002F0CBB">
        <w:rPr>
          <w:rFonts w:ascii="Cambria" w:hAnsi="Cambria" w:cstheme="minorHAnsi"/>
          <w:sz w:val="18"/>
          <w:szCs w:val="18"/>
        </w:rPr>
        <w:t xml:space="preserve">Disponible: </w:t>
      </w:r>
      <w:r w:rsidR="00000000">
        <w:fldChar w:fldCharType="begin"/>
      </w:r>
      <w:r w:rsidR="00000000">
        <w:instrText>HYPERLINK "http://conadi.gob.gt/web/2020/04/24/comunicado-16-2020/"</w:instrText>
      </w:r>
      <w:r w:rsidR="00000000">
        <w:fldChar w:fldCharType="separate"/>
      </w:r>
      <w:r w:rsidRPr="002F0CBB">
        <w:rPr>
          <w:rStyle w:val="Hyperlink"/>
          <w:rFonts w:ascii="Cambria" w:hAnsi="Cambria" w:cstheme="minorHAnsi"/>
          <w:sz w:val="18"/>
          <w:szCs w:val="18"/>
        </w:rPr>
        <w:t>http://conadi.gob.gt/web/2020/04/24/comunicado-16-2020/</w:t>
      </w:r>
      <w:r w:rsidR="00000000">
        <w:rPr>
          <w:rStyle w:val="Hyperlink"/>
          <w:rFonts w:ascii="Cambria" w:hAnsi="Cambria" w:cstheme="minorHAnsi"/>
          <w:sz w:val="18"/>
          <w:szCs w:val="18"/>
        </w:rPr>
        <w:fldChar w:fldCharType="end"/>
      </w:r>
      <w:r w:rsidRPr="002F0CBB">
        <w:rPr>
          <w:rFonts w:ascii="Cambria" w:hAnsi="Cambria" w:cstheme="minorHAnsi"/>
          <w:sz w:val="18"/>
          <w:szCs w:val="18"/>
        </w:rPr>
        <w:t>.</w:t>
      </w:r>
    </w:p>
  </w:footnote>
  <w:footnote w:id="54">
    <w:p w14:paraId="09C4B058" w14:textId="77777777" w:rsidR="00243564" w:rsidRPr="002F0CBB" w:rsidRDefault="00243564" w:rsidP="00243564">
      <w:pPr>
        <w:spacing w:after="0" w:line="240" w:lineRule="auto"/>
        <w:jc w:val="both"/>
        <w:rPr>
          <w:rFonts w:ascii="Cambria" w:hAnsi="Cambria" w:cstheme="minorHAnsi"/>
          <w:sz w:val="18"/>
          <w:szCs w:val="18"/>
        </w:rPr>
      </w:pPr>
      <w:r w:rsidRPr="002F0CBB">
        <w:rPr>
          <w:rFonts w:ascii="Cambria" w:hAnsi="Cambria" w:cstheme="minorHAnsi"/>
          <w:sz w:val="18"/>
          <w:szCs w:val="18"/>
          <w:vertAlign w:val="superscript"/>
        </w:rPr>
        <w:footnoteRef/>
      </w:r>
      <w:r w:rsidRPr="002F0CBB">
        <w:rPr>
          <w:rFonts w:ascii="Cambria" w:hAnsi="Cambria" w:cstheme="minorHAnsi"/>
          <w:sz w:val="18"/>
          <w:szCs w:val="18"/>
        </w:rPr>
        <w:t xml:space="preserve"> </w:t>
      </w:r>
      <w:r w:rsidRPr="002F0CBB">
        <w:rPr>
          <w:rFonts w:ascii="Cambria" w:hAnsi="Cambria" w:cstheme="minorHAnsi"/>
          <w:sz w:val="18"/>
          <w:szCs w:val="18"/>
        </w:rPr>
        <w:t>Ibidem</w:t>
      </w:r>
    </w:p>
  </w:footnote>
  <w:footnote w:id="55">
    <w:p w14:paraId="59ADD504" w14:textId="77777777" w:rsidR="00243564" w:rsidRPr="002F0CBB" w:rsidRDefault="00243564" w:rsidP="00243564">
      <w:pPr>
        <w:pStyle w:val="FootnoteText"/>
        <w:rPr>
          <w:rFonts w:ascii="Cambria" w:hAnsi="Cambria" w:cstheme="minorHAnsi"/>
          <w:sz w:val="18"/>
          <w:szCs w:val="18"/>
        </w:rPr>
      </w:pPr>
      <w:r w:rsidRPr="002F0CBB">
        <w:rPr>
          <w:rStyle w:val="FootnoteReference"/>
          <w:rFonts w:ascii="Cambria" w:hAnsi="Cambria" w:cstheme="minorHAnsi"/>
          <w:sz w:val="18"/>
          <w:szCs w:val="18"/>
        </w:rPr>
        <w:footnoteRef/>
      </w:r>
      <w:r w:rsidRPr="002F0CBB">
        <w:rPr>
          <w:rFonts w:ascii="Cambria" w:hAnsi="Cambria" w:cstheme="minorHAnsi"/>
          <w:sz w:val="18"/>
          <w:szCs w:val="18"/>
        </w:rPr>
        <w:t xml:space="preserve"> </w:t>
      </w:r>
      <w:r w:rsidRPr="002F0CBB">
        <w:rPr>
          <w:rFonts w:ascii="Cambria" w:hAnsi="Cambria" w:cstheme="minorHAnsi"/>
          <w:sz w:val="18"/>
          <w:szCs w:val="18"/>
        </w:rPr>
        <w:t>ANEXO IX.</w:t>
      </w:r>
    </w:p>
  </w:footnote>
  <w:footnote w:id="56">
    <w:p w14:paraId="2FBBE9EE" w14:textId="1691FB70" w:rsidR="00634642" w:rsidRPr="002F0CBB" w:rsidRDefault="00634642" w:rsidP="002F0CBB">
      <w:pPr>
        <w:spacing w:after="0" w:line="240" w:lineRule="auto"/>
        <w:rPr>
          <w:rFonts w:ascii="Cambria" w:eastAsia="Times New Roman" w:hAnsi="Cambria" w:cstheme="minorHAnsi"/>
          <w:sz w:val="18"/>
          <w:szCs w:val="18"/>
          <w:lang w:val="es-ES"/>
        </w:rPr>
      </w:pPr>
      <w:r w:rsidRPr="002F0CBB">
        <w:rPr>
          <w:rStyle w:val="FootnoteReference"/>
          <w:rFonts w:ascii="Cambria" w:hAnsi="Cambria" w:cstheme="minorHAnsi"/>
          <w:sz w:val="18"/>
          <w:szCs w:val="18"/>
          <w:lang w:val="es-ES"/>
        </w:rPr>
        <w:footnoteRef/>
      </w:r>
      <w:r w:rsidRPr="002F0CBB">
        <w:rPr>
          <w:rFonts w:ascii="Cambria" w:hAnsi="Cambria" w:cstheme="minorHAnsi"/>
          <w:sz w:val="18"/>
          <w:szCs w:val="18"/>
          <w:lang w:val="es-ES"/>
        </w:rPr>
        <w:t xml:space="preserve"> </w:t>
      </w:r>
      <w:r w:rsidRPr="002F0CBB">
        <w:rPr>
          <w:rFonts w:ascii="Cambria" w:eastAsia="Times New Roman" w:hAnsi="Cambria" w:cstheme="minorHAnsi"/>
          <w:sz w:val="18"/>
          <w:szCs w:val="18"/>
          <w:lang w:val="es-ES"/>
        </w:rPr>
        <w:t>CIDH, “Reglamento de la Comisión Interamericana de Derechos Humanos”, artículo 25, apartado 1.</w:t>
      </w:r>
    </w:p>
  </w:footnote>
  <w:footnote w:id="57">
    <w:p w14:paraId="570A1D16" w14:textId="33F1560E" w:rsidR="00634642" w:rsidRPr="002F0CBB" w:rsidRDefault="00634642" w:rsidP="002F0CBB">
      <w:pPr>
        <w:spacing w:after="0" w:line="240" w:lineRule="auto"/>
        <w:rPr>
          <w:rFonts w:ascii="Cambria" w:eastAsia="Times New Roman" w:hAnsi="Cambria" w:cstheme="minorHAnsi"/>
          <w:sz w:val="18"/>
          <w:szCs w:val="18"/>
          <w:lang w:val="es-ES"/>
        </w:rPr>
      </w:pPr>
      <w:r w:rsidRPr="002F0CBB">
        <w:rPr>
          <w:rStyle w:val="FootnoteReference"/>
          <w:rFonts w:ascii="Cambria" w:hAnsi="Cambria" w:cstheme="minorHAnsi"/>
          <w:sz w:val="18"/>
          <w:szCs w:val="18"/>
          <w:lang w:val="es-ES"/>
        </w:rPr>
        <w:footnoteRef/>
      </w:r>
      <w:r w:rsidRPr="002F0CBB">
        <w:rPr>
          <w:rFonts w:ascii="Cambria" w:hAnsi="Cambria" w:cstheme="minorHAnsi"/>
          <w:sz w:val="18"/>
          <w:szCs w:val="18"/>
          <w:lang w:val="es-ES"/>
        </w:rPr>
        <w:t xml:space="preserve"> </w:t>
      </w:r>
      <w:proofErr w:type="gramStart"/>
      <w:r w:rsidRPr="002F0CBB">
        <w:rPr>
          <w:rFonts w:ascii="Cambria" w:eastAsia="Times New Roman" w:hAnsi="Cambria" w:cstheme="minorHAnsi"/>
          <w:i/>
          <w:iCs/>
          <w:sz w:val="18"/>
          <w:szCs w:val="18"/>
          <w:lang w:val="es-ES"/>
        </w:rPr>
        <w:t>Ver</w:t>
      </w:r>
      <w:proofErr w:type="gramEnd"/>
      <w:r w:rsidRPr="002F0CBB">
        <w:rPr>
          <w:rFonts w:ascii="Cambria" w:eastAsia="Times New Roman" w:hAnsi="Cambria" w:cstheme="minorHAnsi"/>
          <w:i/>
          <w:iCs/>
          <w:sz w:val="18"/>
          <w:szCs w:val="18"/>
          <w:lang w:val="es-ES"/>
        </w:rPr>
        <w:t xml:space="preserve"> por ejemplo</w:t>
      </w:r>
      <w:r w:rsidRPr="002F0CBB">
        <w:rPr>
          <w:rFonts w:ascii="Cambria" w:eastAsia="Times New Roman" w:hAnsi="Cambria" w:cstheme="minorHAnsi"/>
          <w:sz w:val="18"/>
          <w:szCs w:val="18"/>
          <w:lang w:val="es-ES"/>
        </w:rPr>
        <w:t>, CIDH, Resolución 93/2018, Medidas Cautelares No. 823-18, Asunto Manuel Eduardo Tijerino y su núcleo familiar respecto de Nicaragua, 28 de diciembre de 2018, párr. 2.</w:t>
      </w:r>
    </w:p>
  </w:footnote>
  <w:footnote w:id="58">
    <w:p w14:paraId="2E3A24CD" w14:textId="043E5959" w:rsidR="00634642" w:rsidRPr="002F0CBB" w:rsidRDefault="00634642" w:rsidP="002F0CBB">
      <w:pPr>
        <w:pStyle w:val="FootnoteText"/>
        <w:rPr>
          <w:rFonts w:ascii="Cambria" w:hAnsi="Cambria" w:cstheme="minorHAnsi"/>
          <w:sz w:val="18"/>
          <w:szCs w:val="18"/>
        </w:rPr>
      </w:pPr>
      <w:r w:rsidRPr="002F0CBB">
        <w:rPr>
          <w:rStyle w:val="FootnoteReference"/>
          <w:rFonts w:ascii="Cambria" w:hAnsi="Cambria" w:cstheme="minorHAnsi"/>
          <w:sz w:val="18"/>
          <w:szCs w:val="18"/>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CIDH, </w:t>
      </w:r>
      <w:r w:rsidRPr="002F0CBB">
        <w:rPr>
          <w:rFonts w:ascii="Cambria" w:hAnsi="Cambria" w:cstheme="minorHAnsi"/>
          <w:i/>
          <w:iCs/>
          <w:sz w:val="18"/>
          <w:szCs w:val="18"/>
        </w:rPr>
        <w:t>supra</w:t>
      </w:r>
      <w:r w:rsidRPr="002F0CBB">
        <w:rPr>
          <w:rFonts w:ascii="Cambria" w:hAnsi="Cambria" w:cstheme="minorHAnsi"/>
          <w:sz w:val="18"/>
          <w:szCs w:val="18"/>
        </w:rPr>
        <w:t xml:space="preserve"> nota 56. Art. 25, apartado 2, inciso a.</w:t>
      </w:r>
    </w:p>
  </w:footnote>
  <w:footnote w:id="59">
    <w:p w14:paraId="3A0AB5BA" w14:textId="77777777" w:rsidR="00634642" w:rsidRPr="002F0CBB" w:rsidRDefault="00634642" w:rsidP="002F0CBB">
      <w:pPr>
        <w:spacing w:after="0" w:line="240" w:lineRule="auto"/>
        <w:rPr>
          <w:rFonts w:ascii="Cambria" w:eastAsia="Times New Roman" w:hAnsi="Cambria" w:cstheme="minorHAnsi"/>
          <w:sz w:val="18"/>
          <w:szCs w:val="18"/>
          <w:lang w:val="es-ES"/>
        </w:rPr>
      </w:pPr>
      <w:r w:rsidRPr="002F0CBB">
        <w:rPr>
          <w:rStyle w:val="FootnoteReference"/>
          <w:rFonts w:ascii="Cambria" w:hAnsi="Cambria" w:cstheme="minorHAnsi"/>
          <w:sz w:val="18"/>
          <w:szCs w:val="18"/>
          <w:lang w:val="es-ES"/>
        </w:rPr>
        <w:footnoteRef/>
      </w:r>
      <w:r w:rsidRPr="002F0CBB">
        <w:rPr>
          <w:rFonts w:ascii="Cambria" w:hAnsi="Cambria" w:cstheme="minorHAnsi"/>
          <w:sz w:val="18"/>
          <w:szCs w:val="18"/>
          <w:lang w:val="es-ES"/>
        </w:rPr>
        <w:t xml:space="preserve"> </w:t>
      </w:r>
      <w:r w:rsidRPr="002F0CBB">
        <w:rPr>
          <w:rFonts w:ascii="Cambria" w:eastAsia="Times New Roman" w:hAnsi="Cambria" w:cstheme="minorHAnsi"/>
          <w:sz w:val="18"/>
          <w:szCs w:val="18"/>
          <w:lang w:val="es-ES"/>
        </w:rPr>
        <w:t>CIDH, Informe sobre los derechos humanos de las personas privadas de libertad en las Américas, OEA/</w:t>
      </w:r>
      <w:proofErr w:type="spellStart"/>
      <w:r w:rsidRPr="002F0CBB">
        <w:rPr>
          <w:rFonts w:ascii="Cambria" w:eastAsia="Times New Roman" w:hAnsi="Cambria" w:cstheme="minorHAnsi"/>
          <w:sz w:val="18"/>
          <w:szCs w:val="18"/>
          <w:lang w:val="es-ES"/>
        </w:rPr>
        <w:t>Ser.L</w:t>
      </w:r>
      <w:proofErr w:type="spellEnd"/>
      <w:r w:rsidRPr="002F0CBB">
        <w:rPr>
          <w:rFonts w:ascii="Cambria" w:eastAsia="Times New Roman" w:hAnsi="Cambria" w:cstheme="minorHAnsi"/>
          <w:sz w:val="18"/>
          <w:szCs w:val="18"/>
          <w:lang w:val="es-ES"/>
        </w:rPr>
        <w:t>/V/II. Doc. 64, 31 diciembre 2011, párr. 8</w:t>
      </w:r>
    </w:p>
  </w:footnote>
  <w:footnote w:id="60">
    <w:p w14:paraId="47EA6727" w14:textId="58DDB75B" w:rsidR="00634642" w:rsidRPr="002F0CBB" w:rsidRDefault="00634642" w:rsidP="002F0CBB">
      <w:pPr>
        <w:spacing w:after="0" w:line="240" w:lineRule="auto"/>
        <w:rPr>
          <w:rFonts w:ascii="Cambria" w:eastAsia="Times New Roman" w:hAnsi="Cambria" w:cstheme="minorHAnsi"/>
          <w:sz w:val="18"/>
          <w:szCs w:val="18"/>
          <w:lang w:val="es-ES"/>
        </w:rPr>
      </w:pPr>
      <w:r w:rsidRPr="002F0CBB">
        <w:rPr>
          <w:rStyle w:val="FootnoteReference"/>
          <w:rFonts w:ascii="Cambria" w:hAnsi="Cambria" w:cstheme="minorHAnsi"/>
          <w:sz w:val="18"/>
          <w:szCs w:val="18"/>
          <w:lang w:val="es-ES"/>
        </w:rPr>
        <w:footnoteRef/>
      </w:r>
      <w:r w:rsidRPr="002F0CBB">
        <w:rPr>
          <w:rFonts w:ascii="Cambria" w:hAnsi="Cambria" w:cstheme="minorHAnsi"/>
          <w:sz w:val="18"/>
          <w:szCs w:val="18"/>
          <w:lang w:val="es-ES"/>
        </w:rPr>
        <w:t xml:space="preserve"> </w:t>
      </w:r>
      <w:r w:rsidRPr="002F0CBB">
        <w:rPr>
          <w:rFonts w:ascii="Cambria" w:eastAsia="Times New Roman" w:hAnsi="Cambria" w:cstheme="minorHAnsi"/>
          <w:sz w:val="18"/>
          <w:szCs w:val="18"/>
          <w:lang w:val="es-ES"/>
        </w:rPr>
        <w:t xml:space="preserve">CIDH, </w:t>
      </w:r>
      <w:r w:rsidRPr="002F0CBB">
        <w:rPr>
          <w:rFonts w:ascii="Cambria" w:hAnsi="Cambria" w:cstheme="minorHAnsi"/>
          <w:i/>
          <w:iCs/>
          <w:sz w:val="18"/>
          <w:szCs w:val="18"/>
        </w:rPr>
        <w:t>supra</w:t>
      </w:r>
      <w:r w:rsidRPr="002F0CBB">
        <w:rPr>
          <w:rFonts w:ascii="Cambria" w:hAnsi="Cambria" w:cstheme="minorHAnsi"/>
          <w:sz w:val="18"/>
          <w:szCs w:val="18"/>
        </w:rPr>
        <w:t xml:space="preserve"> nota 56</w:t>
      </w:r>
      <w:r w:rsidRPr="002F0CBB">
        <w:rPr>
          <w:rFonts w:ascii="Cambria" w:eastAsia="Times New Roman" w:hAnsi="Cambria" w:cstheme="minorHAnsi"/>
          <w:sz w:val="18"/>
          <w:szCs w:val="18"/>
          <w:lang w:val="es-ES"/>
        </w:rPr>
        <w:t>, artículo 25, apartado 2.</w:t>
      </w:r>
    </w:p>
  </w:footnote>
  <w:footnote w:id="61">
    <w:p w14:paraId="0684210F" w14:textId="77777777" w:rsidR="00634642" w:rsidRPr="002F0CBB" w:rsidRDefault="00634642" w:rsidP="002F0CBB">
      <w:pPr>
        <w:spacing w:after="0" w:line="240" w:lineRule="auto"/>
        <w:rPr>
          <w:rFonts w:ascii="Cambria" w:eastAsia="Times New Roman" w:hAnsi="Cambria" w:cstheme="minorHAnsi"/>
          <w:sz w:val="18"/>
          <w:szCs w:val="18"/>
          <w:lang w:val="es-ES"/>
        </w:rPr>
      </w:pPr>
      <w:r w:rsidRPr="002F0CBB">
        <w:rPr>
          <w:rStyle w:val="FootnoteReference"/>
          <w:rFonts w:ascii="Cambria" w:hAnsi="Cambria" w:cstheme="minorHAnsi"/>
          <w:sz w:val="18"/>
          <w:szCs w:val="18"/>
          <w:lang w:val="es-ES"/>
        </w:rPr>
        <w:footnoteRef/>
      </w:r>
      <w:r w:rsidRPr="002F0CBB">
        <w:rPr>
          <w:rFonts w:ascii="Cambria" w:hAnsi="Cambria" w:cstheme="minorHAnsi"/>
          <w:sz w:val="18"/>
          <w:szCs w:val="18"/>
          <w:lang w:val="es-ES"/>
        </w:rPr>
        <w:t xml:space="preserve"> </w:t>
      </w:r>
      <w:proofErr w:type="gramStart"/>
      <w:r w:rsidRPr="002F0CBB">
        <w:rPr>
          <w:rFonts w:ascii="Cambria" w:eastAsia="Times New Roman" w:hAnsi="Cambria" w:cstheme="minorHAnsi"/>
          <w:i/>
          <w:iCs/>
          <w:sz w:val="18"/>
          <w:szCs w:val="18"/>
          <w:lang w:val="es-ES"/>
        </w:rPr>
        <w:t>Ver</w:t>
      </w:r>
      <w:proofErr w:type="gramEnd"/>
      <w:r w:rsidRPr="002F0CBB">
        <w:rPr>
          <w:rFonts w:ascii="Cambria" w:eastAsia="Times New Roman" w:hAnsi="Cambria" w:cstheme="minorHAnsi"/>
          <w:i/>
          <w:iCs/>
          <w:sz w:val="18"/>
          <w:szCs w:val="18"/>
          <w:lang w:val="es-ES"/>
        </w:rPr>
        <w:t xml:space="preserve"> por ejemplo</w:t>
      </w:r>
      <w:r w:rsidRPr="002F0CBB">
        <w:rPr>
          <w:rFonts w:ascii="Cambria" w:eastAsia="Times New Roman" w:hAnsi="Cambria" w:cstheme="minorHAnsi"/>
          <w:sz w:val="18"/>
          <w:szCs w:val="18"/>
          <w:lang w:val="es-ES"/>
        </w:rPr>
        <w:t xml:space="preserve">, CIDH, Resolución 93/2018, Medidas Cautelares No. 823-18, Asunto Manuel Eduardo Tijerino y su núcleo familiar respecto de Nicaragua, 28 de diciembre de 2018, </w:t>
      </w:r>
      <w:proofErr w:type="spellStart"/>
      <w:r w:rsidRPr="002F0CBB">
        <w:rPr>
          <w:rFonts w:ascii="Cambria" w:eastAsia="Times New Roman" w:hAnsi="Cambria" w:cstheme="minorHAnsi"/>
          <w:sz w:val="18"/>
          <w:szCs w:val="18"/>
          <w:lang w:val="es-ES"/>
        </w:rPr>
        <w:t>pårr</w:t>
      </w:r>
      <w:proofErr w:type="spellEnd"/>
      <w:r w:rsidRPr="002F0CBB">
        <w:rPr>
          <w:rFonts w:ascii="Cambria" w:eastAsia="Times New Roman" w:hAnsi="Cambria" w:cstheme="minorHAnsi"/>
          <w:sz w:val="18"/>
          <w:szCs w:val="18"/>
          <w:lang w:val="es-ES"/>
        </w:rPr>
        <w:t>. 23.</w:t>
      </w:r>
    </w:p>
  </w:footnote>
  <w:footnote w:id="62">
    <w:p w14:paraId="15F4E06B" w14:textId="43CDEC41" w:rsidR="00634642" w:rsidRPr="002F0CBB" w:rsidRDefault="00634642" w:rsidP="002F0CBB">
      <w:pPr>
        <w:spacing w:after="0" w:line="240" w:lineRule="auto"/>
        <w:rPr>
          <w:rFonts w:ascii="Cambria" w:eastAsia="Times New Roman" w:hAnsi="Cambria" w:cstheme="minorHAnsi"/>
          <w:sz w:val="18"/>
          <w:szCs w:val="18"/>
          <w:lang w:val="es-ES"/>
        </w:rPr>
      </w:pPr>
      <w:r w:rsidRPr="002F0CBB">
        <w:rPr>
          <w:rStyle w:val="FootnoteReference"/>
          <w:rFonts w:ascii="Cambria" w:hAnsi="Cambria" w:cstheme="minorHAnsi"/>
          <w:sz w:val="18"/>
          <w:szCs w:val="18"/>
          <w:lang w:val="es-ES"/>
        </w:rPr>
        <w:footnoteRef/>
      </w:r>
      <w:r w:rsidRPr="002F0CBB">
        <w:rPr>
          <w:rFonts w:ascii="Cambria" w:hAnsi="Cambria" w:cstheme="minorHAnsi"/>
          <w:sz w:val="18"/>
          <w:szCs w:val="18"/>
          <w:lang w:val="es-ES"/>
        </w:rPr>
        <w:t xml:space="preserve"> </w:t>
      </w:r>
      <w:r w:rsidRPr="002F0CBB">
        <w:rPr>
          <w:rFonts w:ascii="Cambria" w:eastAsia="Times New Roman" w:hAnsi="Cambria" w:cstheme="minorHAnsi"/>
          <w:sz w:val="18"/>
          <w:szCs w:val="18"/>
          <w:lang w:val="es-ES"/>
        </w:rPr>
        <w:t xml:space="preserve">CIDH, </w:t>
      </w:r>
      <w:r w:rsidRPr="002F0CBB">
        <w:rPr>
          <w:rFonts w:ascii="Cambria" w:eastAsia="Times New Roman" w:hAnsi="Cambria" w:cstheme="minorHAnsi"/>
          <w:i/>
          <w:iCs/>
          <w:sz w:val="18"/>
          <w:szCs w:val="18"/>
          <w:lang w:val="es-ES"/>
        </w:rPr>
        <w:t>supra</w:t>
      </w:r>
      <w:r w:rsidRPr="002F0CBB">
        <w:rPr>
          <w:rFonts w:ascii="Cambria" w:eastAsia="Times New Roman" w:hAnsi="Cambria" w:cstheme="minorHAnsi"/>
          <w:sz w:val="18"/>
          <w:szCs w:val="18"/>
          <w:lang w:val="es-ES"/>
        </w:rPr>
        <w:t xml:space="preserve"> nota 60.</w:t>
      </w:r>
    </w:p>
  </w:footnote>
  <w:footnote w:id="63">
    <w:p w14:paraId="6E52238A" w14:textId="26EEE090" w:rsidR="00634642" w:rsidRPr="002F0CBB" w:rsidRDefault="00634642" w:rsidP="002F0CBB">
      <w:pPr>
        <w:spacing w:after="0" w:line="240" w:lineRule="auto"/>
        <w:rPr>
          <w:rFonts w:ascii="Cambria" w:eastAsia="Times New Roman" w:hAnsi="Cambria" w:cstheme="minorHAnsi"/>
          <w:sz w:val="18"/>
          <w:szCs w:val="18"/>
          <w:lang w:val="es-ES"/>
        </w:rPr>
      </w:pPr>
      <w:r w:rsidRPr="002F0CBB">
        <w:rPr>
          <w:rStyle w:val="FootnoteReference"/>
          <w:rFonts w:ascii="Cambria" w:hAnsi="Cambria" w:cstheme="minorHAnsi"/>
          <w:sz w:val="18"/>
          <w:szCs w:val="18"/>
          <w:lang w:val="es-ES"/>
        </w:rPr>
        <w:footnoteRef/>
      </w:r>
      <w:r w:rsidRPr="002F0CBB">
        <w:rPr>
          <w:rFonts w:ascii="Cambria" w:hAnsi="Cambria" w:cstheme="minorHAnsi"/>
          <w:sz w:val="18"/>
          <w:szCs w:val="18"/>
          <w:lang w:val="es-ES"/>
        </w:rPr>
        <w:t xml:space="preserve"> </w:t>
      </w:r>
      <w:r w:rsidRPr="002F0CBB">
        <w:rPr>
          <w:rFonts w:ascii="Cambria" w:eastAsia="Times New Roman" w:hAnsi="Cambria" w:cstheme="minorHAnsi"/>
          <w:sz w:val="18"/>
          <w:szCs w:val="18"/>
          <w:lang w:val="es-ES"/>
        </w:rPr>
        <w:t xml:space="preserve">Ver por ejemplo, CIDH, Resolución 93/2018, Medidas Cautelares No. 823-18, Asunto Manuel Eduardo Tijerino y su núcleo familiar respecto de Nicaragua, 28 de diciembre de 2018, párr. 24; CIDH, Resolución 78/2018, Medida cautelar No. 688-18, Pedro Patricio </w:t>
      </w:r>
      <w:proofErr w:type="spellStart"/>
      <w:r w:rsidRPr="002F0CBB">
        <w:rPr>
          <w:rFonts w:ascii="Cambria" w:eastAsia="Times New Roman" w:hAnsi="Cambria" w:cstheme="minorHAnsi"/>
          <w:sz w:val="18"/>
          <w:szCs w:val="18"/>
          <w:lang w:val="es-ES"/>
        </w:rPr>
        <w:t>Jaimes</w:t>
      </w:r>
      <w:proofErr w:type="spellEnd"/>
      <w:r w:rsidRPr="002F0CBB">
        <w:rPr>
          <w:rFonts w:ascii="Cambria" w:eastAsia="Times New Roman" w:hAnsi="Cambria" w:cstheme="minorHAnsi"/>
          <w:sz w:val="18"/>
          <w:szCs w:val="18"/>
          <w:lang w:val="es-ES"/>
        </w:rPr>
        <w:t xml:space="preserve"> Criollo respecto de Venezuela, 4 de octubre de 2018, párr. 25; CIDH, Resolución 16/2018, Medida Cautelar No. 39-18, Asunto Eduardo </w:t>
      </w:r>
      <w:proofErr w:type="spellStart"/>
      <w:r w:rsidRPr="002F0CBB">
        <w:rPr>
          <w:rFonts w:ascii="Cambria" w:eastAsia="Times New Roman" w:hAnsi="Cambria" w:cstheme="minorHAnsi"/>
          <w:sz w:val="18"/>
          <w:szCs w:val="18"/>
          <w:lang w:val="es-ES"/>
        </w:rPr>
        <w:t>Cardet</w:t>
      </w:r>
      <w:proofErr w:type="spellEnd"/>
      <w:r w:rsidRPr="002F0CBB">
        <w:rPr>
          <w:rFonts w:ascii="Cambria" w:eastAsia="Times New Roman" w:hAnsi="Cambria" w:cstheme="minorHAnsi"/>
          <w:sz w:val="18"/>
          <w:szCs w:val="18"/>
          <w:lang w:val="es-ES"/>
        </w:rPr>
        <w:t xml:space="preserve"> Concepción respecto de Cuba, 24 de febrero 2018, párr. 18; CIDH, Resolución 4/2015, Medida Cautelar No. 535/14, centro de Detención Migratoria </w:t>
      </w:r>
      <w:proofErr w:type="spellStart"/>
      <w:r w:rsidRPr="002F0CBB">
        <w:rPr>
          <w:rFonts w:ascii="Cambria" w:eastAsia="Times New Roman" w:hAnsi="Cambria" w:cstheme="minorHAnsi"/>
          <w:sz w:val="18"/>
          <w:szCs w:val="18"/>
          <w:lang w:val="es-ES"/>
        </w:rPr>
        <w:t>Carmichael</w:t>
      </w:r>
      <w:proofErr w:type="spellEnd"/>
      <w:r w:rsidRPr="002F0CBB">
        <w:rPr>
          <w:rFonts w:ascii="Cambria" w:eastAsia="Times New Roman" w:hAnsi="Cambria" w:cstheme="minorHAnsi"/>
          <w:sz w:val="18"/>
          <w:szCs w:val="18"/>
          <w:lang w:val="es-ES"/>
        </w:rPr>
        <w:t xml:space="preserve"> Road </w:t>
      </w:r>
      <w:proofErr w:type="spellStart"/>
      <w:r w:rsidRPr="002F0CBB">
        <w:rPr>
          <w:rFonts w:ascii="Cambria" w:eastAsia="Times New Roman" w:hAnsi="Cambria" w:cstheme="minorHAnsi"/>
          <w:sz w:val="18"/>
          <w:szCs w:val="18"/>
          <w:lang w:val="es-ES"/>
        </w:rPr>
        <w:t>Detention</w:t>
      </w:r>
      <w:proofErr w:type="spellEnd"/>
      <w:r w:rsidRPr="002F0CBB">
        <w:rPr>
          <w:rFonts w:ascii="Cambria" w:eastAsia="Times New Roman" w:hAnsi="Cambria" w:cstheme="minorHAnsi"/>
          <w:sz w:val="18"/>
          <w:szCs w:val="18"/>
          <w:lang w:val="es-ES"/>
        </w:rPr>
        <w:t xml:space="preserve"> Center respecto a Las Bahamas, 13 de febrero de 2015, párr. 17.</w:t>
      </w:r>
    </w:p>
    <w:p w14:paraId="602A4796" w14:textId="77777777" w:rsidR="00634642" w:rsidRPr="002F0CBB" w:rsidRDefault="00634642" w:rsidP="002F0CBB">
      <w:pPr>
        <w:pStyle w:val="FootnoteText"/>
        <w:rPr>
          <w:rFonts w:ascii="Cambria" w:hAnsi="Cambria" w:cstheme="minorHAnsi"/>
          <w:sz w:val="18"/>
          <w:szCs w:val="18"/>
          <w:lang w:val="es-ES"/>
        </w:rPr>
      </w:pPr>
    </w:p>
  </w:footnote>
  <w:footnote w:id="64">
    <w:p w14:paraId="2A494C55" w14:textId="0BBED7E2" w:rsidR="00634642" w:rsidRPr="002F0CBB" w:rsidRDefault="00634642" w:rsidP="002F0CBB">
      <w:pPr>
        <w:pStyle w:val="FootnoteText"/>
        <w:jc w:val="both"/>
        <w:rPr>
          <w:rFonts w:ascii="Cambria" w:hAnsi="Cambria" w:cstheme="minorHAnsi"/>
          <w:sz w:val="18"/>
          <w:szCs w:val="18"/>
        </w:rPr>
      </w:pPr>
      <w:r w:rsidRPr="002F0CBB">
        <w:rPr>
          <w:rStyle w:val="FootnoteReference"/>
          <w:rFonts w:ascii="Cambria" w:hAnsi="Cambria" w:cstheme="minorHAnsi"/>
          <w:sz w:val="18"/>
          <w:szCs w:val="18"/>
        </w:rPr>
        <w:footnoteRef/>
      </w:r>
      <w:r w:rsidRPr="002F0CBB">
        <w:rPr>
          <w:rFonts w:ascii="Cambria" w:hAnsi="Cambria" w:cstheme="minorHAnsi"/>
          <w:sz w:val="18"/>
          <w:szCs w:val="18"/>
        </w:rPr>
        <w:t xml:space="preserve"> </w:t>
      </w:r>
      <w:r w:rsidRPr="002F0CBB">
        <w:rPr>
          <w:rFonts w:ascii="Cambria" w:hAnsi="Cambria" w:cstheme="minorHAnsi"/>
          <w:sz w:val="18"/>
          <w:szCs w:val="18"/>
        </w:rPr>
        <w:t xml:space="preserve">ONU, </w:t>
      </w:r>
      <w:r w:rsidRPr="002F0CBB">
        <w:rPr>
          <w:rFonts w:ascii="Cambria" w:hAnsi="Cambria" w:cstheme="minorHAnsi"/>
          <w:i/>
          <w:iCs/>
          <w:sz w:val="18"/>
          <w:szCs w:val="18"/>
        </w:rPr>
        <w:t>supra</w:t>
      </w:r>
      <w:r w:rsidRPr="002F0CBB">
        <w:rPr>
          <w:rFonts w:ascii="Cambria" w:hAnsi="Cambria" w:cstheme="minorHAnsi"/>
          <w:sz w:val="18"/>
          <w:szCs w:val="18"/>
        </w:rPr>
        <w:t xml:space="preserve"> nota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198"/>
    <w:multiLevelType w:val="multilevel"/>
    <w:tmpl w:val="4B8EF95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14364D"/>
    <w:multiLevelType w:val="hybridMultilevel"/>
    <w:tmpl w:val="C018D2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61656B"/>
    <w:multiLevelType w:val="hybridMultilevel"/>
    <w:tmpl w:val="F372E0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A377A7"/>
    <w:multiLevelType w:val="hybridMultilevel"/>
    <w:tmpl w:val="E8D4CAC8"/>
    <w:lvl w:ilvl="0" w:tplc="3DFC7BAC">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16156C"/>
    <w:multiLevelType w:val="multilevel"/>
    <w:tmpl w:val="4B8EF95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D3C182A"/>
    <w:multiLevelType w:val="hybridMultilevel"/>
    <w:tmpl w:val="417489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DE3743"/>
    <w:multiLevelType w:val="multilevel"/>
    <w:tmpl w:val="4B8EF95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DE71271"/>
    <w:multiLevelType w:val="hybridMultilevel"/>
    <w:tmpl w:val="C018D2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266596"/>
    <w:multiLevelType w:val="multilevel"/>
    <w:tmpl w:val="4B8EF95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825400E"/>
    <w:multiLevelType w:val="multilevel"/>
    <w:tmpl w:val="4B8EF95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B0B7465"/>
    <w:multiLevelType w:val="multilevel"/>
    <w:tmpl w:val="4B8EF95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1312866"/>
    <w:multiLevelType w:val="multilevel"/>
    <w:tmpl w:val="4B8EF95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6BF4FBD"/>
    <w:multiLevelType w:val="multilevel"/>
    <w:tmpl w:val="4B8EF95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CD01C3F"/>
    <w:multiLevelType w:val="hybridMultilevel"/>
    <w:tmpl w:val="C018D2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D7E23B1"/>
    <w:multiLevelType w:val="hybridMultilevel"/>
    <w:tmpl w:val="02CA5D52"/>
    <w:lvl w:ilvl="0" w:tplc="7E40EE6E">
      <w:start w:val="1"/>
      <w:numFmt w:val="decimal"/>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81039466">
    <w:abstractNumId w:val="10"/>
  </w:num>
  <w:num w:numId="2" w16cid:durableId="881333619">
    <w:abstractNumId w:val="4"/>
  </w:num>
  <w:num w:numId="3" w16cid:durableId="2037390686">
    <w:abstractNumId w:val="8"/>
  </w:num>
  <w:num w:numId="4" w16cid:durableId="1293905931">
    <w:abstractNumId w:val="9"/>
  </w:num>
  <w:num w:numId="5" w16cid:durableId="1704204690">
    <w:abstractNumId w:val="6"/>
  </w:num>
  <w:num w:numId="6" w16cid:durableId="22020153">
    <w:abstractNumId w:val="11"/>
  </w:num>
  <w:num w:numId="7" w16cid:durableId="266500915">
    <w:abstractNumId w:val="12"/>
  </w:num>
  <w:num w:numId="8" w16cid:durableId="226692695">
    <w:abstractNumId w:val="14"/>
  </w:num>
  <w:num w:numId="9" w16cid:durableId="148177096">
    <w:abstractNumId w:val="1"/>
  </w:num>
  <w:num w:numId="10" w16cid:durableId="1748192399">
    <w:abstractNumId w:val="0"/>
  </w:num>
  <w:num w:numId="11" w16cid:durableId="1323509143">
    <w:abstractNumId w:val="5"/>
  </w:num>
  <w:num w:numId="12" w16cid:durableId="1294368321">
    <w:abstractNumId w:val="3"/>
  </w:num>
  <w:num w:numId="13" w16cid:durableId="959192898">
    <w:abstractNumId w:val="2"/>
  </w:num>
  <w:num w:numId="14" w16cid:durableId="2022778016">
    <w:abstractNumId w:val="7"/>
  </w:num>
  <w:num w:numId="15" w16cid:durableId="8598991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D6"/>
    <w:rsid w:val="0001045B"/>
    <w:rsid w:val="000105BA"/>
    <w:rsid w:val="00083B4E"/>
    <w:rsid w:val="000B76B2"/>
    <w:rsid w:val="000C0393"/>
    <w:rsid w:val="001226FE"/>
    <w:rsid w:val="00141E98"/>
    <w:rsid w:val="00146599"/>
    <w:rsid w:val="0016716A"/>
    <w:rsid w:val="0017106E"/>
    <w:rsid w:val="00192082"/>
    <w:rsid w:val="00193530"/>
    <w:rsid w:val="00194919"/>
    <w:rsid w:val="001B119B"/>
    <w:rsid w:val="001C1C3D"/>
    <w:rsid w:val="00243564"/>
    <w:rsid w:val="00281972"/>
    <w:rsid w:val="002837AC"/>
    <w:rsid w:val="002F0CBB"/>
    <w:rsid w:val="003026B7"/>
    <w:rsid w:val="0030741F"/>
    <w:rsid w:val="00323FFB"/>
    <w:rsid w:val="003276F9"/>
    <w:rsid w:val="00332722"/>
    <w:rsid w:val="00340F7F"/>
    <w:rsid w:val="00354CBD"/>
    <w:rsid w:val="00356BE7"/>
    <w:rsid w:val="003932D8"/>
    <w:rsid w:val="003D1AC1"/>
    <w:rsid w:val="003E1A0A"/>
    <w:rsid w:val="00422496"/>
    <w:rsid w:val="0043303F"/>
    <w:rsid w:val="004348B7"/>
    <w:rsid w:val="00457B8E"/>
    <w:rsid w:val="00473E79"/>
    <w:rsid w:val="004811BE"/>
    <w:rsid w:val="004B165C"/>
    <w:rsid w:val="004B5650"/>
    <w:rsid w:val="004C5C64"/>
    <w:rsid w:val="004D2F5D"/>
    <w:rsid w:val="004D4E1C"/>
    <w:rsid w:val="004D7BBF"/>
    <w:rsid w:val="004E2F37"/>
    <w:rsid w:val="004E3E68"/>
    <w:rsid w:val="0051505F"/>
    <w:rsid w:val="00530D11"/>
    <w:rsid w:val="00536192"/>
    <w:rsid w:val="00570127"/>
    <w:rsid w:val="00574D97"/>
    <w:rsid w:val="00595741"/>
    <w:rsid w:val="005D423B"/>
    <w:rsid w:val="00604A19"/>
    <w:rsid w:val="006053B2"/>
    <w:rsid w:val="00634642"/>
    <w:rsid w:val="006507CA"/>
    <w:rsid w:val="00650BBC"/>
    <w:rsid w:val="006565A8"/>
    <w:rsid w:val="006604AC"/>
    <w:rsid w:val="00662E2C"/>
    <w:rsid w:val="00670AF0"/>
    <w:rsid w:val="00686F8C"/>
    <w:rsid w:val="00695F3B"/>
    <w:rsid w:val="006E4AA7"/>
    <w:rsid w:val="00722AF1"/>
    <w:rsid w:val="007467EB"/>
    <w:rsid w:val="00776785"/>
    <w:rsid w:val="00796072"/>
    <w:rsid w:val="007B6183"/>
    <w:rsid w:val="007C7900"/>
    <w:rsid w:val="007D2F1C"/>
    <w:rsid w:val="007F4622"/>
    <w:rsid w:val="00811792"/>
    <w:rsid w:val="008506E7"/>
    <w:rsid w:val="008523A2"/>
    <w:rsid w:val="008A3C07"/>
    <w:rsid w:val="008A66A8"/>
    <w:rsid w:val="008E7049"/>
    <w:rsid w:val="00921AA7"/>
    <w:rsid w:val="0092239C"/>
    <w:rsid w:val="00923807"/>
    <w:rsid w:val="009327CB"/>
    <w:rsid w:val="0094475E"/>
    <w:rsid w:val="00961716"/>
    <w:rsid w:val="009722D6"/>
    <w:rsid w:val="009903B5"/>
    <w:rsid w:val="009925D1"/>
    <w:rsid w:val="009C5D6A"/>
    <w:rsid w:val="009D593A"/>
    <w:rsid w:val="00A06C22"/>
    <w:rsid w:val="00A121CB"/>
    <w:rsid w:val="00A252AE"/>
    <w:rsid w:val="00A34706"/>
    <w:rsid w:val="00A34F4A"/>
    <w:rsid w:val="00A6182C"/>
    <w:rsid w:val="00A74611"/>
    <w:rsid w:val="00A75FD1"/>
    <w:rsid w:val="00A951C6"/>
    <w:rsid w:val="00AB20FF"/>
    <w:rsid w:val="00AD7D83"/>
    <w:rsid w:val="00AE4F85"/>
    <w:rsid w:val="00B07444"/>
    <w:rsid w:val="00B25099"/>
    <w:rsid w:val="00B52A67"/>
    <w:rsid w:val="00B64410"/>
    <w:rsid w:val="00B76ABC"/>
    <w:rsid w:val="00B90D6F"/>
    <w:rsid w:val="00BA5D06"/>
    <w:rsid w:val="00BB2AAF"/>
    <w:rsid w:val="00BF3146"/>
    <w:rsid w:val="00C12492"/>
    <w:rsid w:val="00C14307"/>
    <w:rsid w:val="00C26AD0"/>
    <w:rsid w:val="00C4700E"/>
    <w:rsid w:val="00C51734"/>
    <w:rsid w:val="00C659B3"/>
    <w:rsid w:val="00C761FE"/>
    <w:rsid w:val="00C800CB"/>
    <w:rsid w:val="00C81898"/>
    <w:rsid w:val="00C9379E"/>
    <w:rsid w:val="00C946E6"/>
    <w:rsid w:val="00CB100C"/>
    <w:rsid w:val="00CD5CB6"/>
    <w:rsid w:val="00CF0F9B"/>
    <w:rsid w:val="00CF33FE"/>
    <w:rsid w:val="00D110F4"/>
    <w:rsid w:val="00D40E6C"/>
    <w:rsid w:val="00D46696"/>
    <w:rsid w:val="00D871BE"/>
    <w:rsid w:val="00D9008E"/>
    <w:rsid w:val="00D90914"/>
    <w:rsid w:val="00DF5C10"/>
    <w:rsid w:val="00E43243"/>
    <w:rsid w:val="00E65373"/>
    <w:rsid w:val="00E946D1"/>
    <w:rsid w:val="00EB0ABF"/>
    <w:rsid w:val="00ED1960"/>
    <w:rsid w:val="00EF6AF2"/>
    <w:rsid w:val="00F042D4"/>
    <w:rsid w:val="00F055E7"/>
    <w:rsid w:val="00F33B4A"/>
    <w:rsid w:val="00F534DC"/>
    <w:rsid w:val="00F55474"/>
    <w:rsid w:val="00F7708B"/>
    <w:rsid w:val="00F77879"/>
    <w:rsid w:val="00F82ACF"/>
    <w:rsid w:val="00FC23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84CB"/>
  <w15:chartTrackingRefBased/>
  <w15:docId w15:val="{E142C5AD-7634-4FA8-BFC6-D2CEAFBC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734"/>
    <w:rPr>
      <w:rFonts w:ascii="Calibri" w:eastAsia="Calibri" w:hAnsi="Calibri" w:cs="Calibri"/>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7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734"/>
    <w:rPr>
      <w:rFonts w:ascii="Segoe UI" w:hAnsi="Segoe UI" w:cs="Segoe UI"/>
      <w:sz w:val="18"/>
      <w:szCs w:val="18"/>
    </w:rPr>
  </w:style>
  <w:style w:type="character" w:styleId="Hyperlink">
    <w:name w:val="Hyperlink"/>
    <w:basedOn w:val="DefaultParagraphFont"/>
    <w:uiPriority w:val="99"/>
    <w:unhideWhenUsed/>
    <w:rsid w:val="00473E79"/>
    <w:rPr>
      <w:color w:val="0563C1" w:themeColor="hyperlink"/>
      <w:u w:val="single"/>
    </w:rPr>
  </w:style>
  <w:style w:type="paragraph" w:styleId="FootnoteText">
    <w:name w:val="footnote text"/>
    <w:basedOn w:val="Normal"/>
    <w:link w:val="FootnoteTextChar"/>
    <w:uiPriority w:val="99"/>
    <w:semiHidden/>
    <w:unhideWhenUsed/>
    <w:rsid w:val="00473E79"/>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473E79"/>
    <w:rPr>
      <w:sz w:val="20"/>
      <w:szCs w:val="20"/>
    </w:rPr>
  </w:style>
  <w:style w:type="character" w:styleId="FootnoteReference">
    <w:name w:val="footnote reference"/>
    <w:basedOn w:val="DefaultParagraphFont"/>
    <w:uiPriority w:val="99"/>
    <w:semiHidden/>
    <w:unhideWhenUsed/>
    <w:rsid w:val="00473E79"/>
    <w:rPr>
      <w:vertAlign w:val="superscript"/>
    </w:rPr>
  </w:style>
  <w:style w:type="paragraph" w:styleId="ListParagraph">
    <w:name w:val="List Paragraph"/>
    <w:basedOn w:val="Normal"/>
    <w:uiPriority w:val="34"/>
    <w:qFormat/>
    <w:rsid w:val="00473E79"/>
    <w:pPr>
      <w:ind w:left="720"/>
      <w:contextualSpacing/>
    </w:pPr>
  </w:style>
  <w:style w:type="paragraph" w:styleId="Header">
    <w:name w:val="header"/>
    <w:basedOn w:val="Normal"/>
    <w:link w:val="HeaderChar"/>
    <w:uiPriority w:val="99"/>
    <w:unhideWhenUsed/>
    <w:rsid w:val="004348B7"/>
    <w:pPr>
      <w:tabs>
        <w:tab w:val="center" w:pos="4419"/>
        <w:tab w:val="right" w:pos="8838"/>
      </w:tabs>
      <w:spacing w:after="0" w:line="240" w:lineRule="auto"/>
    </w:pPr>
  </w:style>
  <w:style w:type="character" w:customStyle="1" w:styleId="HeaderChar">
    <w:name w:val="Header Char"/>
    <w:basedOn w:val="DefaultParagraphFont"/>
    <w:link w:val="Header"/>
    <w:uiPriority w:val="99"/>
    <w:rsid w:val="004348B7"/>
    <w:rPr>
      <w:rFonts w:ascii="Calibri" w:eastAsia="Calibri" w:hAnsi="Calibri" w:cs="Calibri"/>
      <w:lang w:eastAsia="es-MX"/>
    </w:rPr>
  </w:style>
  <w:style w:type="paragraph" w:styleId="Footer">
    <w:name w:val="footer"/>
    <w:basedOn w:val="Normal"/>
    <w:link w:val="FooterChar"/>
    <w:uiPriority w:val="99"/>
    <w:unhideWhenUsed/>
    <w:rsid w:val="004348B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348B7"/>
    <w:rPr>
      <w:rFonts w:ascii="Calibri" w:eastAsia="Calibri" w:hAnsi="Calibri" w:cs="Calibri"/>
      <w:lang w:eastAsia="es-MX"/>
    </w:rPr>
  </w:style>
  <w:style w:type="paragraph" w:styleId="HTMLPreformatted">
    <w:name w:val="HTML Preformatted"/>
    <w:basedOn w:val="Normal"/>
    <w:link w:val="HTMLPreformattedChar"/>
    <w:uiPriority w:val="99"/>
    <w:semiHidden/>
    <w:unhideWhenUsed/>
    <w:rsid w:val="007C790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C7900"/>
    <w:rPr>
      <w:rFonts w:ascii="Consolas" w:eastAsia="Calibri" w:hAnsi="Consolas" w:cs="Calibri"/>
      <w:sz w:val="20"/>
      <w:szCs w:val="20"/>
      <w:lang w:eastAsia="es-MX"/>
    </w:rPr>
  </w:style>
  <w:style w:type="character" w:styleId="UnresolvedMention">
    <w:name w:val="Unresolved Mention"/>
    <w:basedOn w:val="DefaultParagraphFont"/>
    <w:uiPriority w:val="99"/>
    <w:semiHidden/>
    <w:unhideWhenUsed/>
    <w:rsid w:val="00C76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50649">
      <w:bodyDiv w:val="1"/>
      <w:marLeft w:val="0"/>
      <w:marRight w:val="0"/>
      <w:marTop w:val="0"/>
      <w:marBottom w:val="0"/>
      <w:divBdr>
        <w:top w:val="none" w:sz="0" w:space="0" w:color="auto"/>
        <w:left w:val="none" w:sz="0" w:space="0" w:color="auto"/>
        <w:bottom w:val="none" w:sz="0" w:space="0" w:color="auto"/>
        <w:right w:val="none" w:sz="0" w:space="0" w:color="auto"/>
      </w:divBdr>
      <w:divsChild>
        <w:div w:id="2063823991">
          <w:marLeft w:val="0"/>
          <w:marRight w:val="0"/>
          <w:marTop w:val="0"/>
          <w:marBottom w:val="0"/>
          <w:divBdr>
            <w:top w:val="none" w:sz="0" w:space="0" w:color="auto"/>
            <w:left w:val="none" w:sz="0" w:space="0" w:color="auto"/>
            <w:bottom w:val="none" w:sz="0" w:space="0" w:color="auto"/>
            <w:right w:val="none" w:sz="0" w:space="0" w:color="auto"/>
          </w:divBdr>
          <w:divsChild>
            <w:div w:id="275017158">
              <w:marLeft w:val="0"/>
              <w:marRight w:val="0"/>
              <w:marTop w:val="0"/>
              <w:marBottom w:val="0"/>
              <w:divBdr>
                <w:top w:val="none" w:sz="0" w:space="0" w:color="auto"/>
                <w:left w:val="none" w:sz="0" w:space="0" w:color="auto"/>
                <w:bottom w:val="none" w:sz="0" w:space="0" w:color="auto"/>
                <w:right w:val="none" w:sz="0" w:space="0" w:color="auto"/>
              </w:divBdr>
              <w:divsChild>
                <w:div w:id="348219339">
                  <w:marLeft w:val="-240"/>
                  <w:marRight w:val="-240"/>
                  <w:marTop w:val="0"/>
                  <w:marBottom w:val="0"/>
                  <w:divBdr>
                    <w:top w:val="none" w:sz="0" w:space="0" w:color="auto"/>
                    <w:left w:val="none" w:sz="0" w:space="0" w:color="auto"/>
                    <w:bottom w:val="none" w:sz="0" w:space="0" w:color="auto"/>
                    <w:right w:val="none" w:sz="0" w:space="0" w:color="auto"/>
                  </w:divBdr>
                  <w:divsChild>
                    <w:div w:id="1559701434">
                      <w:marLeft w:val="0"/>
                      <w:marRight w:val="0"/>
                      <w:marTop w:val="0"/>
                      <w:marBottom w:val="0"/>
                      <w:divBdr>
                        <w:top w:val="none" w:sz="0" w:space="0" w:color="auto"/>
                        <w:left w:val="none" w:sz="0" w:space="0" w:color="auto"/>
                        <w:bottom w:val="none" w:sz="0" w:space="0" w:color="auto"/>
                        <w:right w:val="none" w:sz="0" w:space="0" w:color="auto"/>
                      </w:divBdr>
                      <w:divsChild>
                        <w:div w:id="830217603">
                          <w:marLeft w:val="0"/>
                          <w:marRight w:val="0"/>
                          <w:marTop w:val="0"/>
                          <w:marBottom w:val="0"/>
                          <w:divBdr>
                            <w:top w:val="none" w:sz="0" w:space="0" w:color="auto"/>
                            <w:left w:val="none" w:sz="0" w:space="0" w:color="auto"/>
                            <w:bottom w:val="none" w:sz="0" w:space="0" w:color="auto"/>
                            <w:right w:val="none" w:sz="0" w:space="0" w:color="auto"/>
                          </w:divBdr>
                        </w:div>
                        <w:div w:id="1317804733">
                          <w:marLeft w:val="0"/>
                          <w:marRight w:val="0"/>
                          <w:marTop w:val="0"/>
                          <w:marBottom w:val="0"/>
                          <w:divBdr>
                            <w:top w:val="none" w:sz="0" w:space="0" w:color="auto"/>
                            <w:left w:val="none" w:sz="0" w:space="0" w:color="auto"/>
                            <w:bottom w:val="none" w:sz="0" w:space="0" w:color="auto"/>
                            <w:right w:val="none" w:sz="0" w:space="0" w:color="auto"/>
                          </w:divBdr>
                          <w:divsChild>
                            <w:div w:id="487287117">
                              <w:marLeft w:val="165"/>
                              <w:marRight w:val="165"/>
                              <w:marTop w:val="0"/>
                              <w:marBottom w:val="0"/>
                              <w:divBdr>
                                <w:top w:val="none" w:sz="0" w:space="0" w:color="auto"/>
                                <w:left w:val="none" w:sz="0" w:space="0" w:color="auto"/>
                                <w:bottom w:val="none" w:sz="0" w:space="0" w:color="auto"/>
                                <w:right w:val="none" w:sz="0" w:space="0" w:color="auto"/>
                              </w:divBdr>
                              <w:divsChild>
                                <w:div w:id="2003072873">
                                  <w:marLeft w:val="0"/>
                                  <w:marRight w:val="0"/>
                                  <w:marTop w:val="0"/>
                                  <w:marBottom w:val="0"/>
                                  <w:divBdr>
                                    <w:top w:val="none" w:sz="0" w:space="0" w:color="auto"/>
                                    <w:left w:val="none" w:sz="0" w:space="0" w:color="auto"/>
                                    <w:bottom w:val="none" w:sz="0" w:space="0" w:color="auto"/>
                                    <w:right w:val="none" w:sz="0" w:space="0" w:color="auto"/>
                                  </w:divBdr>
                                  <w:divsChild>
                                    <w:div w:id="9588723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685350">
      <w:bodyDiv w:val="1"/>
      <w:marLeft w:val="0"/>
      <w:marRight w:val="0"/>
      <w:marTop w:val="0"/>
      <w:marBottom w:val="0"/>
      <w:divBdr>
        <w:top w:val="none" w:sz="0" w:space="0" w:color="auto"/>
        <w:left w:val="none" w:sz="0" w:space="0" w:color="auto"/>
        <w:bottom w:val="none" w:sz="0" w:space="0" w:color="auto"/>
        <w:right w:val="none" w:sz="0" w:space="0" w:color="auto"/>
      </w:divBdr>
    </w:div>
    <w:div w:id="828592941">
      <w:bodyDiv w:val="1"/>
      <w:marLeft w:val="0"/>
      <w:marRight w:val="0"/>
      <w:marTop w:val="0"/>
      <w:marBottom w:val="0"/>
      <w:divBdr>
        <w:top w:val="none" w:sz="0" w:space="0" w:color="auto"/>
        <w:left w:val="none" w:sz="0" w:space="0" w:color="auto"/>
        <w:bottom w:val="none" w:sz="0" w:space="0" w:color="auto"/>
        <w:right w:val="none" w:sz="0" w:space="0" w:color="auto"/>
      </w:divBdr>
    </w:div>
    <w:div w:id="889651285">
      <w:bodyDiv w:val="1"/>
      <w:marLeft w:val="0"/>
      <w:marRight w:val="0"/>
      <w:marTop w:val="0"/>
      <w:marBottom w:val="0"/>
      <w:divBdr>
        <w:top w:val="none" w:sz="0" w:space="0" w:color="auto"/>
        <w:left w:val="none" w:sz="0" w:space="0" w:color="auto"/>
        <w:bottom w:val="none" w:sz="0" w:space="0" w:color="auto"/>
        <w:right w:val="none" w:sz="0" w:space="0" w:color="auto"/>
      </w:divBdr>
      <w:divsChild>
        <w:div w:id="339545314">
          <w:marLeft w:val="0"/>
          <w:marRight w:val="0"/>
          <w:marTop w:val="0"/>
          <w:marBottom w:val="0"/>
          <w:divBdr>
            <w:top w:val="none" w:sz="0" w:space="0" w:color="auto"/>
            <w:left w:val="none" w:sz="0" w:space="0" w:color="auto"/>
            <w:bottom w:val="none" w:sz="0" w:space="0" w:color="auto"/>
            <w:right w:val="none" w:sz="0" w:space="0" w:color="auto"/>
          </w:divBdr>
          <w:divsChild>
            <w:div w:id="1626622972">
              <w:marLeft w:val="0"/>
              <w:marRight w:val="0"/>
              <w:marTop w:val="0"/>
              <w:marBottom w:val="0"/>
              <w:divBdr>
                <w:top w:val="none" w:sz="0" w:space="0" w:color="auto"/>
                <w:left w:val="none" w:sz="0" w:space="0" w:color="auto"/>
                <w:bottom w:val="none" w:sz="0" w:space="0" w:color="auto"/>
                <w:right w:val="none" w:sz="0" w:space="0" w:color="auto"/>
              </w:divBdr>
              <w:divsChild>
                <w:div w:id="1758398447">
                  <w:marLeft w:val="-240"/>
                  <w:marRight w:val="-240"/>
                  <w:marTop w:val="0"/>
                  <w:marBottom w:val="0"/>
                  <w:divBdr>
                    <w:top w:val="none" w:sz="0" w:space="0" w:color="auto"/>
                    <w:left w:val="none" w:sz="0" w:space="0" w:color="auto"/>
                    <w:bottom w:val="none" w:sz="0" w:space="0" w:color="auto"/>
                    <w:right w:val="none" w:sz="0" w:space="0" w:color="auto"/>
                  </w:divBdr>
                  <w:divsChild>
                    <w:div w:id="270749921">
                      <w:marLeft w:val="0"/>
                      <w:marRight w:val="0"/>
                      <w:marTop w:val="0"/>
                      <w:marBottom w:val="0"/>
                      <w:divBdr>
                        <w:top w:val="none" w:sz="0" w:space="0" w:color="auto"/>
                        <w:left w:val="none" w:sz="0" w:space="0" w:color="auto"/>
                        <w:bottom w:val="none" w:sz="0" w:space="0" w:color="auto"/>
                        <w:right w:val="none" w:sz="0" w:space="0" w:color="auto"/>
                      </w:divBdr>
                      <w:divsChild>
                        <w:div w:id="283467221">
                          <w:marLeft w:val="0"/>
                          <w:marRight w:val="0"/>
                          <w:marTop w:val="0"/>
                          <w:marBottom w:val="0"/>
                          <w:divBdr>
                            <w:top w:val="none" w:sz="0" w:space="0" w:color="auto"/>
                            <w:left w:val="none" w:sz="0" w:space="0" w:color="auto"/>
                            <w:bottom w:val="none" w:sz="0" w:space="0" w:color="auto"/>
                            <w:right w:val="none" w:sz="0" w:space="0" w:color="auto"/>
                          </w:divBdr>
                        </w:div>
                        <w:div w:id="208342891">
                          <w:marLeft w:val="0"/>
                          <w:marRight w:val="0"/>
                          <w:marTop w:val="0"/>
                          <w:marBottom w:val="0"/>
                          <w:divBdr>
                            <w:top w:val="none" w:sz="0" w:space="0" w:color="auto"/>
                            <w:left w:val="none" w:sz="0" w:space="0" w:color="auto"/>
                            <w:bottom w:val="none" w:sz="0" w:space="0" w:color="auto"/>
                            <w:right w:val="none" w:sz="0" w:space="0" w:color="auto"/>
                          </w:divBdr>
                          <w:divsChild>
                            <w:div w:id="201595853">
                              <w:marLeft w:val="165"/>
                              <w:marRight w:val="165"/>
                              <w:marTop w:val="0"/>
                              <w:marBottom w:val="0"/>
                              <w:divBdr>
                                <w:top w:val="none" w:sz="0" w:space="0" w:color="auto"/>
                                <w:left w:val="none" w:sz="0" w:space="0" w:color="auto"/>
                                <w:bottom w:val="none" w:sz="0" w:space="0" w:color="auto"/>
                                <w:right w:val="none" w:sz="0" w:space="0" w:color="auto"/>
                              </w:divBdr>
                              <w:divsChild>
                                <w:div w:id="1719862486">
                                  <w:marLeft w:val="0"/>
                                  <w:marRight w:val="0"/>
                                  <w:marTop w:val="0"/>
                                  <w:marBottom w:val="0"/>
                                  <w:divBdr>
                                    <w:top w:val="none" w:sz="0" w:space="0" w:color="auto"/>
                                    <w:left w:val="none" w:sz="0" w:space="0" w:color="auto"/>
                                    <w:bottom w:val="none" w:sz="0" w:space="0" w:color="auto"/>
                                    <w:right w:val="none" w:sz="0" w:space="0" w:color="auto"/>
                                  </w:divBdr>
                                  <w:divsChild>
                                    <w:div w:id="13022693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464269">
      <w:bodyDiv w:val="1"/>
      <w:marLeft w:val="0"/>
      <w:marRight w:val="0"/>
      <w:marTop w:val="0"/>
      <w:marBottom w:val="0"/>
      <w:divBdr>
        <w:top w:val="none" w:sz="0" w:space="0" w:color="auto"/>
        <w:left w:val="none" w:sz="0" w:space="0" w:color="auto"/>
        <w:bottom w:val="none" w:sz="0" w:space="0" w:color="auto"/>
        <w:right w:val="none" w:sz="0" w:space="0" w:color="auto"/>
      </w:divBdr>
      <w:divsChild>
        <w:div w:id="632566932">
          <w:marLeft w:val="0"/>
          <w:marRight w:val="0"/>
          <w:marTop w:val="0"/>
          <w:marBottom w:val="0"/>
          <w:divBdr>
            <w:top w:val="none" w:sz="0" w:space="0" w:color="auto"/>
            <w:left w:val="none" w:sz="0" w:space="0" w:color="auto"/>
            <w:bottom w:val="none" w:sz="0" w:space="0" w:color="auto"/>
            <w:right w:val="none" w:sz="0" w:space="0" w:color="auto"/>
          </w:divBdr>
          <w:divsChild>
            <w:div w:id="1666937004">
              <w:marLeft w:val="0"/>
              <w:marRight w:val="0"/>
              <w:marTop w:val="0"/>
              <w:marBottom w:val="0"/>
              <w:divBdr>
                <w:top w:val="none" w:sz="0" w:space="0" w:color="auto"/>
                <w:left w:val="none" w:sz="0" w:space="0" w:color="auto"/>
                <w:bottom w:val="none" w:sz="0" w:space="0" w:color="auto"/>
                <w:right w:val="none" w:sz="0" w:space="0" w:color="auto"/>
              </w:divBdr>
              <w:divsChild>
                <w:div w:id="290283903">
                  <w:marLeft w:val="-240"/>
                  <w:marRight w:val="-240"/>
                  <w:marTop w:val="0"/>
                  <w:marBottom w:val="0"/>
                  <w:divBdr>
                    <w:top w:val="none" w:sz="0" w:space="0" w:color="auto"/>
                    <w:left w:val="none" w:sz="0" w:space="0" w:color="auto"/>
                    <w:bottom w:val="none" w:sz="0" w:space="0" w:color="auto"/>
                    <w:right w:val="none" w:sz="0" w:space="0" w:color="auto"/>
                  </w:divBdr>
                  <w:divsChild>
                    <w:div w:id="801725910">
                      <w:marLeft w:val="0"/>
                      <w:marRight w:val="0"/>
                      <w:marTop w:val="0"/>
                      <w:marBottom w:val="0"/>
                      <w:divBdr>
                        <w:top w:val="none" w:sz="0" w:space="0" w:color="auto"/>
                        <w:left w:val="none" w:sz="0" w:space="0" w:color="auto"/>
                        <w:bottom w:val="none" w:sz="0" w:space="0" w:color="auto"/>
                        <w:right w:val="none" w:sz="0" w:space="0" w:color="auto"/>
                      </w:divBdr>
                      <w:divsChild>
                        <w:div w:id="269747883">
                          <w:marLeft w:val="0"/>
                          <w:marRight w:val="0"/>
                          <w:marTop w:val="0"/>
                          <w:marBottom w:val="0"/>
                          <w:divBdr>
                            <w:top w:val="none" w:sz="0" w:space="0" w:color="auto"/>
                            <w:left w:val="none" w:sz="0" w:space="0" w:color="auto"/>
                            <w:bottom w:val="none" w:sz="0" w:space="0" w:color="auto"/>
                            <w:right w:val="none" w:sz="0" w:space="0" w:color="auto"/>
                          </w:divBdr>
                        </w:div>
                        <w:div w:id="645400835">
                          <w:marLeft w:val="0"/>
                          <w:marRight w:val="0"/>
                          <w:marTop w:val="0"/>
                          <w:marBottom w:val="0"/>
                          <w:divBdr>
                            <w:top w:val="none" w:sz="0" w:space="0" w:color="auto"/>
                            <w:left w:val="none" w:sz="0" w:space="0" w:color="auto"/>
                            <w:bottom w:val="none" w:sz="0" w:space="0" w:color="auto"/>
                            <w:right w:val="none" w:sz="0" w:space="0" w:color="auto"/>
                          </w:divBdr>
                          <w:divsChild>
                            <w:div w:id="82074221">
                              <w:marLeft w:val="165"/>
                              <w:marRight w:val="165"/>
                              <w:marTop w:val="0"/>
                              <w:marBottom w:val="0"/>
                              <w:divBdr>
                                <w:top w:val="none" w:sz="0" w:space="0" w:color="auto"/>
                                <w:left w:val="none" w:sz="0" w:space="0" w:color="auto"/>
                                <w:bottom w:val="none" w:sz="0" w:space="0" w:color="auto"/>
                                <w:right w:val="none" w:sz="0" w:space="0" w:color="auto"/>
                              </w:divBdr>
                              <w:divsChild>
                                <w:div w:id="1116632422">
                                  <w:marLeft w:val="0"/>
                                  <w:marRight w:val="0"/>
                                  <w:marTop w:val="0"/>
                                  <w:marBottom w:val="0"/>
                                  <w:divBdr>
                                    <w:top w:val="none" w:sz="0" w:space="0" w:color="auto"/>
                                    <w:left w:val="none" w:sz="0" w:space="0" w:color="auto"/>
                                    <w:bottom w:val="none" w:sz="0" w:space="0" w:color="auto"/>
                                    <w:right w:val="none" w:sz="0" w:space="0" w:color="auto"/>
                                  </w:divBdr>
                                  <w:divsChild>
                                    <w:div w:id="13476306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961977">
      <w:bodyDiv w:val="1"/>
      <w:marLeft w:val="0"/>
      <w:marRight w:val="0"/>
      <w:marTop w:val="0"/>
      <w:marBottom w:val="0"/>
      <w:divBdr>
        <w:top w:val="none" w:sz="0" w:space="0" w:color="auto"/>
        <w:left w:val="none" w:sz="0" w:space="0" w:color="auto"/>
        <w:bottom w:val="none" w:sz="0" w:space="0" w:color="auto"/>
        <w:right w:val="none" w:sz="0" w:space="0" w:color="auto"/>
      </w:divBdr>
      <w:divsChild>
        <w:div w:id="1587886799">
          <w:marLeft w:val="0"/>
          <w:marRight w:val="0"/>
          <w:marTop w:val="0"/>
          <w:marBottom w:val="0"/>
          <w:divBdr>
            <w:top w:val="none" w:sz="0" w:space="0" w:color="auto"/>
            <w:left w:val="none" w:sz="0" w:space="0" w:color="auto"/>
            <w:bottom w:val="none" w:sz="0" w:space="0" w:color="auto"/>
            <w:right w:val="none" w:sz="0" w:space="0" w:color="auto"/>
          </w:divBdr>
          <w:divsChild>
            <w:div w:id="554659557">
              <w:marLeft w:val="0"/>
              <w:marRight w:val="0"/>
              <w:marTop w:val="0"/>
              <w:marBottom w:val="0"/>
              <w:divBdr>
                <w:top w:val="none" w:sz="0" w:space="0" w:color="auto"/>
                <w:left w:val="none" w:sz="0" w:space="0" w:color="auto"/>
                <w:bottom w:val="none" w:sz="0" w:space="0" w:color="auto"/>
                <w:right w:val="none" w:sz="0" w:space="0" w:color="auto"/>
              </w:divBdr>
              <w:divsChild>
                <w:div w:id="110707934">
                  <w:marLeft w:val="-240"/>
                  <w:marRight w:val="-240"/>
                  <w:marTop w:val="0"/>
                  <w:marBottom w:val="0"/>
                  <w:divBdr>
                    <w:top w:val="none" w:sz="0" w:space="0" w:color="auto"/>
                    <w:left w:val="none" w:sz="0" w:space="0" w:color="auto"/>
                    <w:bottom w:val="none" w:sz="0" w:space="0" w:color="auto"/>
                    <w:right w:val="none" w:sz="0" w:space="0" w:color="auto"/>
                  </w:divBdr>
                  <w:divsChild>
                    <w:div w:id="1328827981">
                      <w:marLeft w:val="0"/>
                      <w:marRight w:val="0"/>
                      <w:marTop w:val="0"/>
                      <w:marBottom w:val="0"/>
                      <w:divBdr>
                        <w:top w:val="none" w:sz="0" w:space="0" w:color="auto"/>
                        <w:left w:val="none" w:sz="0" w:space="0" w:color="auto"/>
                        <w:bottom w:val="none" w:sz="0" w:space="0" w:color="auto"/>
                        <w:right w:val="none" w:sz="0" w:space="0" w:color="auto"/>
                      </w:divBdr>
                      <w:divsChild>
                        <w:div w:id="1853259240">
                          <w:marLeft w:val="0"/>
                          <w:marRight w:val="0"/>
                          <w:marTop w:val="0"/>
                          <w:marBottom w:val="0"/>
                          <w:divBdr>
                            <w:top w:val="none" w:sz="0" w:space="0" w:color="auto"/>
                            <w:left w:val="none" w:sz="0" w:space="0" w:color="auto"/>
                            <w:bottom w:val="none" w:sz="0" w:space="0" w:color="auto"/>
                            <w:right w:val="none" w:sz="0" w:space="0" w:color="auto"/>
                          </w:divBdr>
                        </w:div>
                        <w:div w:id="1818302181">
                          <w:marLeft w:val="0"/>
                          <w:marRight w:val="0"/>
                          <w:marTop w:val="0"/>
                          <w:marBottom w:val="0"/>
                          <w:divBdr>
                            <w:top w:val="none" w:sz="0" w:space="0" w:color="auto"/>
                            <w:left w:val="none" w:sz="0" w:space="0" w:color="auto"/>
                            <w:bottom w:val="none" w:sz="0" w:space="0" w:color="auto"/>
                            <w:right w:val="none" w:sz="0" w:space="0" w:color="auto"/>
                          </w:divBdr>
                          <w:divsChild>
                            <w:div w:id="272905226">
                              <w:marLeft w:val="165"/>
                              <w:marRight w:val="165"/>
                              <w:marTop w:val="0"/>
                              <w:marBottom w:val="0"/>
                              <w:divBdr>
                                <w:top w:val="none" w:sz="0" w:space="0" w:color="auto"/>
                                <w:left w:val="none" w:sz="0" w:space="0" w:color="auto"/>
                                <w:bottom w:val="none" w:sz="0" w:space="0" w:color="auto"/>
                                <w:right w:val="none" w:sz="0" w:space="0" w:color="auto"/>
                              </w:divBdr>
                              <w:divsChild>
                                <w:div w:id="1321887004">
                                  <w:marLeft w:val="0"/>
                                  <w:marRight w:val="0"/>
                                  <w:marTop w:val="0"/>
                                  <w:marBottom w:val="0"/>
                                  <w:divBdr>
                                    <w:top w:val="none" w:sz="0" w:space="0" w:color="auto"/>
                                    <w:left w:val="none" w:sz="0" w:space="0" w:color="auto"/>
                                    <w:bottom w:val="none" w:sz="0" w:space="0" w:color="auto"/>
                                    <w:right w:val="none" w:sz="0" w:space="0" w:color="auto"/>
                                  </w:divBdr>
                                  <w:divsChild>
                                    <w:div w:id="1768769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69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witter.com/lahoragt/status/1253053492517879809" TargetMode="External"/><Relationship Id="rId2" Type="http://schemas.openxmlformats.org/officeDocument/2006/relationships/hyperlink" Target="https://www.nytimes.com/2020/04/17/us/coronavirus-nursing-homes.html" TargetMode="External"/><Relationship Id="rId1" Type="http://schemas.openxmlformats.org/officeDocument/2006/relationships/hyperlink" Target="https://www.nytimes.com/2020/04/08/nyregion/coronavirus-disabilities-group-homes.html?referringSource=articleShare" TargetMode="External"/><Relationship Id="rId5" Type="http://schemas.openxmlformats.org/officeDocument/2006/relationships/hyperlink" Target="http://www.internationaldisabilityalliance.org/sites/default/files/ida_recomendaciones_para_una_respuesta_inclusiva_de_la_discapacidad_frente_al_covid19.pdf" TargetMode="External"/><Relationship Id="rId4" Type="http://schemas.openxmlformats.org/officeDocument/2006/relationships/hyperlink" Target="http://www.oas.org/es/cidh/informes/pdfs/Guatemala2017-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DA717-88D5-443E-8667-37285A15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5330</Words>
  <Characters>30387</Characters>
  <Application>Microsoft Office Word</Application>
  <DocSecurity>0</DocSecurity>
  <Lines>253</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 Millán</dc:creator>
  <cp:keywords/>
  <dc:description/>
  <cp:lastModifiedBy>Caitlin Kowalski</cp:lastModifiedBy>
  <cp:revision>2</cp:revision>
  <dcterms:created xsi:type="dcterms:W3CDTF">2023-10-04T17:37:00Z</dcterms:created>
  <dcterms:modified xsi:type="dcterms:W3CDTF">2023-10-04T17:37:00Z</dcterms:modified>
</cp:coreProperties>
</file>