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B7723" w14:textId="4084FA80" w:rsidR="00BF7793" w:rsidRDefault="002D634F" w:rsidP="005342F6">
      <w:pPr>
        <w:spacing w:after="0" w:line="240" w:lineRule="auto"/>
        <w:jc w:val="center"/>
        <w:rPr>
          <w:rFonts w:ascii="Times New Roman" w:hAnsi="Times New Roman" w:cs="Times New Roman"/>
          <w:b/>
          <w:sz w:val="24"/>
          <w:szCs w:val="24"/>
        </w:rPr>
      </w:pPr>
      <w:bookmarkStart w:id="0" w:name="_GoBack"/>
      <w:bookmarkEnd w:id="0"/>
      <w:r w:rsidRPr="00B57B6A">
        <w:rPr>
          <w:rFonts w:ascii="Times New Roman" w:hAnsi="Times New Roman" w:cs="Times New Roman"/>
          <w:b/>
          <w:sz w:val="24"/>
          <w:szCs w:val="24"/>
        </w:rPr>
        <w:t xml:space="preserve">A Mandate to End Placement of Children in Institutions </w:t>
      </w:r>
      <w:r w:rsidR="00CE6639" w:rsidRPr="00B57B6A">
        <w:rPr>
          <w:rFonts w:ascii="Times New Roman" w:hAnsi="Times New Roman" w:cs="Times New Roman"/>
          <w:b/>
          <w:sz w:val="24"/>
          <w:szCs w:val="24"/>
        </w:rPr>
        <w:t xml:space="preserve">and </w:t>
      </w:r>
      <w:r w:rsidRPr="00B57B6A">
        <w:rPr>
          <w:rFonts w:ascii="Times New Roman" w:hAnsi="Times New Roman" w:cs="Times New Roman"/>
          <w:b/>
          <w:sz w:val="24"/>
          <w:szCs w:val="24"/>
        </w:rPr>
        <w:t>Orphanages:</w:t>
      </w:r>
    </w:p>
    <w:p w14:paraId="4C5664DD" w14:textId="644BEA09" w:rsidR="00B16993" w:rsidRDefault="00BF7793" w:rsidP="005342F6">
      <w:pPr>
        <w:spacing w:after="0" w:line="240" w:lineRule="auto"/>
        <w:jc w:val="center"/>
        <w:rPr>
          <w:rFonts w:ascii="Times New Roman" w:hAnsi="Times New Roman" w:cs="Times New Roman"/>
          <w:b/>
          <w:sz w:val="24"/>
          <w:szCs w:val="24"/>
        </w:rPr>
      </w:pPr>
      <w:r w:rsidRPr="00B57B6A">
        <w:rPr>
          <w:rFonts w:ascii="Times New Roman" w:hAnsi="Times New Roman" w:cs="Times New Roman"/>
          <w:b/>
          <w:sz w:val="24"/>
          <w:szCs w:val="24"/>
        </w:rPr>
        <w:t>The duty of governments and donors</w:t>
      </w:r>
      <w:r w:rsidR="007F67C3" w:rsidRPr="00B57B6A">
        <w:rPr>
          <w:rFonts w:ascii="Times New Roman" w:hAnsi="Times New Roman" w:cs="Times New Roman"/>
          <w:b/>
          <w:sz w:val="24"/>
          <w:szCs w:val="24"/>
        </w:rPr>
        <w:t xml:space="preserve"> to prevent </w:t>
      </w:r>
      <w:r w:rsidRPr="00B57B6A">
        <w:rPr>
          <w:rFonts w:ascii="Times New Roman" w:hAnsi="Times New Roman" w:cs="Times New Roman"/>
          <w:b/>
          <w:sz w:val="24"/>
          <w:szCs w:val="24"/>
        </w:rPr>
        <w:t>segregation</w:t>
      </w:r>
      <w:r w:rsidR="004D4BCF" w:rsidRPr="00B57B6A">
        <w:rPr>
          <w:rFonts w:ascii="Times New Roman" w:hAnsi="Times New Roman" w:cs="Times New Roman"/>
          <w:b/>
          <w:sz w:val="24"/>
          <w:szCs w:val="24"/>
        </w:rPr>
        <w:t xml:space="preserve"> and torture</w:t>
      </w:r>
    </w:p>
    <w:p w14:paraId="08ACE06C" w14:textId="77777777" w:rsidR="007C4711" w:rsidRPr="00B57B6A" w:rsidRDefault="007C4711" w:rsidP="005342F6">
      <w:pPr>
        <w:spacing w:after="0" w:line="240" w:lineRule="auto"/>
        <w:jc w:val="center"/>
        <w:rPr>
          <w:rFonts w:ascii="Times New Roman" w:hAnsi="Times New Roman" w:cs="Times New Roman"/>
          <w:b/>
          <w:sz w:val="24"/>
          <w:szCs w:val="24"/>
        </w:rPr>
      </w:pPr>
    </w:p>
    <w:p w14:paraId="573946E1" w14:textId="53295D91" w:rsidR="002B111B" w:rsidRDefault="002B111B" w:rsidP="005342F6">
      <w:pPr>
        <w:spacing w:after="0" w:line="240" w:lineRule="auto"/>
        <w:jc w:val="center"/>
        <w:rPr>
          <w:rFonts w:ascii="Times New Roman" w:hAnsi="Times New Roman" w:cs="Times New Roman"/>
          <w:b/>
          <w:sz w:val="24"/>
          <w:szCs w:val="24"/>
        </w:rPr>
      </w:pPr>
      <w:r w:rsidRPr="00B57B6A">
        <w:rPr>
          <w:rFonts w:ascii="Times New Roman" w:hAnsi="Times New Roman" w:cs="Times New Roman"/>
          <w:b/>
          <w:sz w:val="24"/>
          <w:szCs w:val="24"/>
        </w:rPr>
        <w:t>Eric Rosenthal</w:t>
      </w:r>
      <w:r w:rsidR="00EB136D" w:rsidRPr="00B57B6A">
        <w:rPr>
          <w:rStyle w:val="FootnoteReference"/>
          <w:rFonts w:ascii="Times New Roman" w:hAnsi="Times New Roman" w:cs="Times New Roman"/>
          <w:b/>
          <w:sz w:val="24"/>
          <w:szCs w:val="24"/>
        </w:rPr>
        <w:footnoteReference w:id="1"/>
      </w:r>
    </w:p>
    <w:p w14:paraId="60DA716A" w14:textId="77777777" w:rsidR="005342F6" w:rsidRDefault="005342F6" w:rsidP="005342F6">
      <w:pPr>
        <w:spacing w:after="0" w:line="240" w:lineRule="auto"/>
        <w:jc w:val="center"/>
        <w:rPr>
          <w:rFonts w:ascii="Times New Roman" w:hAnsi="Times New Roman" w:cs="Times New Roman"/>
          <w:b/>
          <w:sz w:val="24"/>
          <w:szCs w:val="24"/>
        </w:rPr>
      </w:pPr>
    </w:p>
    <w:p w14:paraId="13554361" w14:textId="77777777" w:rsidR="001A3CF6" w:rsidRDefault="00EC6ADC" w:rsidP="001A3CF6">
      <w:pPr>
        <w:spacing w:after="0" w:line="240" w:lineRule="auto"/>
        <w:jc w:val="center"/>
        <w:rPr>
          <w:rFonts w:ascii="Times New Roman" w:hAnsi="Times New Roman" w:cs="Times New Roman"/>
          <w:b/>
          <w:bCs/>
          <w:i/>
          <w:color w:val="222222"/>
          <w:shd w:val="clear" w:color="auto" w:fill="FFFFFF"/>
        </w:rPr>
      </w:pPr>
      <w:r w:rsidRPr="001A3CF6">
        <w:rPr>
          <w:rFonts w:ascii="Times New Roman" w:hAnsi="Times New Roman" w:cs="Times New Roman"/>
          <w:b/>
          <w:bCs/>
          <w:color w:val="222222"/>
          <w:shd w:val="clear" w:color="auto" w:fill="FFFFFF"/>
        </w:rPr>
        <w:t xml:space="preserve">Also to </w:t>
      </w:r>
      <w:r w:rsidR="00274CF1" w:rsidRPr="001A3CF6">
        <w:rPr>
          <w:rFonts w:ascii="Times New Roman" w:hAnsi="Times New Roman" w:cs="Times New Roman"/>
          <w:b/>
          <w:bCs/>
          <w:color w:val="222222"/>
          <w:shd w:val="clear" w:color="auto" w:fill="FFFFFF"/>
        </w:rPr>
        <w:t xml:space="preserve">be </w:t>
      </w:r>
      <w:r w:rsidRPr="001A3CF6">
        <w:rPr>
          <w:rFonts w:ascii="Times New Roman" w:hAnsi="Times New Roman" w:cs="Times New Roman"/>
          <w:b/>
          <w:bCs/>
          <w:color w:val="222222"/>
          <w:shd w:val="clear" w:color="auto" w:fill="FFFFFF"/>
        </w:rPr>
        <w:t>published in</w:t>
      </w:r>
      <w:r w:rsidR="005342F6" w:rsidRPr="001A3CF6">
        <w:rPr>
          <w:rFonts w:ascii="Times New Roman" w:hAnsi="Times New Roman" w:cs="Times New Roman"/>
          <w:b/>
          <w:bCs/>
          <w:color w:val="222222"/>
          <w:shd w:val="clear" w:color="auto" w:fill="FFFFFF"/>
        </w:rPr>
        <w:t xml:space="preserve"> </w:t>
      </w:r>
      <w:r w:rsidR="005342F6" w:rsidRPr="001A3CF6">
        <w:rPr>
          <w:rFonts w:ascii="Times New Roman" w:hAnsi="Times New Roman" w:cs="Times New Roman"/>
          <w:b/>
          <w:bCs/>
          <w:i/>
          <w:color w:val="222222"/>
          <w:shd w:val="clear" w:color="auto" w:fill="FFFFFF"/>
        </w:rPr>
        <w:t xml:space="preserve">Protecting Children </w:t>
      </w:r>
      <w:r w:rsidR="001A3CF6" w:rsidRPr="001A3CF6">
        <w:rPr>
          <w:rFonts w:ascii="Times New Roman" w:hAnsi="Times New Roman" w:cs="Times New Roman"/>
          <w:b/>
          <w:bCs/>
          <w:i/>
          <w:color w:val="222222"/>
          <w:shd w:val="clear" w:color="auto" w:fill="FFFFFF"/>
        </w:rPr>
        <w:t xml:space="preserve">Deprived of Liberty from Torture: </w:t>
      </w:r>
    </w:p>
    <w:p w14:paraId="22097BAD" w14:textId="49068AB9" w:rsidR="005342F6" w:rsidRDefault="001A3CF6" w:rsidP="001A3CF6">
      <w:pPr>
        <w:spacing w:after="0" w:line="240" w:lineRule="auto"/>
        <w:jc w:val="center"/>
        <w:rPr>
          <w:rStyle w:val="apple-converted-space"/>
          <w:rFonts w:ascii="Times New Roman" w:hAnsi="Times New Roman" w:cs="Times New Roman"/>
          <w:b/>
          <w:color w:val="222222"/>
          <w:shd w:val="clear" w:color="auto" w:fill="FFFFFF"/>
        </w:rPr>
      </w:pPr>
      <w:r w:rsidRPr="001A3CF6">
        <w:rPr>
          <w:rFonts w:ascii="Times New Roman" w:hAnsi="Times New Roman" w:cs="Times New Roman"/>
          <w:b/>
          <w:bCs/>
          <w:i/>
          <w:color w:val="222222"/>
          <w:shd w:val="clear" w:color="auto" w:fill="FFFFFF"/>
        </w:rPr>
        <w:t>Global Solutions for a Global Problem</w:t>
      </w:r>
      <w:r w:rsidR="005342F6" w:rsidRPr="001A3CF6">
        <w:rPr>
          <w:rStyle w:val="apple-converted-space"/>
          <w:rFonts w:ascii="Times New Roman" w:hAnsi="Times New Roman" w:cs="Times New Roman"/>
          <w:b/>
          <w:color w:val="222222"/>
          <w:shd w:val="clear" w:color="auto" w:fill="FFFFFF"/>
        </w:rPr>
        <w:t> (American University</w:t>
      </w:r>
      <w:r w:rsidR="00EC6ADC" w:rsidRPr="001A3CF6">
        <w:rPr>
          <w:rStyle w:val="apple-converted-space"/>
          <w:rFonts w:ascii="Times New Roman" w:hAnsi="Times New Roman" w:cs="Times New Roman"/>
          <w:b/>
          <w:color w:val="222222"/>
          <w:shd w:val="clear" w:color="auto" w:fill="FFFFFF"/>
        </w:rPr>
        <w:t>,</w:t>
      </w:r>
      <w:r w:rsidR="005342F6" w:rsidRPr="001A3CF6">
        <w:rPr>
          <w:rStyle w:val="apple-converted-space"/>
          <w:rFonts w:ascii="Times New Roman" w:hAnsi="Times New Roman" w:cs="Times New Roman"/>
          <w:b/>
          <w:color w:val="222222"/>
          <w:shd w:val="clear" w:color="auto" w:fill="FFFFFF"/>
        </w:rPr>
        <w:t xml:space="preserve"> </w:t>
      </w:r>
      <w:r w:rsidR="00EC6ADC" w:rsidRPr="001A3CF6">
        <w:rPr>
          <w:rStyle w:val="apple-converted-space"/>
          <w:rFonts w:ascii="Times New Roman" w:hAnsi="Times New Roman" w:cs="Times New Roman"/>
          <w:b/>
          <w:color w:val="222222"/>
          <w:shd w:val="clear" w:color="auto" w:fill="FFFFFF"/>
        </w:rPr>
        <w:t>2</w:t>
      </w:r>
      <w:r w:rsidR="005342F6" w:rsidRPr="001A3CF6">
        <w:rPr>
          <w:rStyle w:val="apple-converted-space"/>
          <w:rFonts w:ascii="Times New Roman" w:hAnsi="Times New Roman" w:cs="Times New Roman"/>
          <w:b/>
          <w:color w:val="222222"/>
          <w:shd w:val="clear" w:color="auto" w:fill="FFFFFF"/>
        </w:rPr>
        <w:t>017)</w:t>
      </w:r>
    </w:p>
    <w:p w14:paraId="1B04B4AD" w14:textId="77777777" w:rsidR="001A3CF6" w:rsidRPr="001A3CF6" w:rsidRDefault="001A3CF6" w:rsidP="001A3CF6">
      <w:pPr>
        <w:spacing w:after="0" w:line="240" w:lineRule="auto"/>
        <w:jc w:val="center"/>
        <w:rPr>
          <w:rFonts w:ascii="Times New Roman" w:hAnsi="Times New Roman" w:cs="Times New Roman"/>
          <w:b/>
        </w:rPr>
      </w:pPr>
    </w:p>
    <w:p w14:paraId="31F7029C" w14:textId="6BD36AF0" w:rsidR="00EB136D" w:rsidRPr="00DA4A7E" w:rsidRDefault="006B42B1" w:rsidP="005342F6">
      <w:pPr>
        <w:spacing w:line="240" w:lineRule="auto"/>
        <w:jc w:val="both"/>
        <w:rPr>
          <w:i/>
        </w:rPr>
      </w:pPr>
      <w:r>
        <w:rPr>
          <w:b/>
          <w:i/>
        </w:rPr>
        <w:t xml:space="preserve">Abstract - </w:t>
      </w:r>
      <w:r w:rsidR="00EB136D" w:rsidRPr="00DA4A7E">
        <w:rPr>
          <w:i/>
        </w:rPr>
        <w:t xml:space="preserve">UN Special Rapporteur on Torture Juan Méndez brings overdue attention to children detained in institutions and the need to protect them against torture or ill-treatment.  The Méndez Report establishes that </w:t>
      </w:r>
      <w:r w:rsidR="00EB136D">
        <w:rPr>
          <w:i/>
        </w:rPr>
        <w:t xml:space="preserve">the </w:t>
      </w:r>
      <w:r w:rsidR="00EB136D" w:rsidRPr="00DA4A7E">
        <w:rPr>
          <w:i/>
        </w:rPr>
        <w:t>obligation to prevent torture requires governments to stop the unnecessary institutional placement of any child. There are 8</w:t>
      </w:r>
      <w:r w:rsidR="00EB5204">
        <w:rPr>
          <w:i/>
        </w:rPr>
        <w:t>-10</w:t>
      </w:r>
      <w:r w:rsidR="00EB136D" w:rsidRPr="00DA4A7E">
        <w:rPr>
          <w:i/>
        </w:rPr>
        <w:t xml:space="preserve"> million children detained in orphanages and other institutions around the world. </w:t>
      </w:r>
      <w:r w:rsidR="00EB136D">
        <w:rPr>
          <w:i/>
        </w:rPr>
        <w:t>R</w:t>
      </w:r>
      <w:r w:rsidR="00EB136D" w:rsidRPr="00DA4A7E">
        <w:rPr>
          <w:i/>
        </w:rPr>
        <w:t>esearch demonstrates that raising children in a congregate setting is inherently dangerous, leading to psychological damage, developmental delays, and an increased risk of violence, abuse, and exploitation. The vast majority of children in o</w:t>
      </w:r>
      <w:r w:rsidR="00EB136D">
        <w:rPr>
          <w:i/>
        </w:rPr>
        <w:t xml:space="preserve">rphanages are not orphans – 80 to </w:t>
      </w:r>
      <w:r w:rsidR="00EB136D" w:rsidRPr="00DA4A7E">
        <w:rPr>
          <w:i/>
        </w:rPr>
        <w:t xml:space="preserve">98% have a living parent. The reason for most orphanage placement is the lack of protection and support for families who live in poverty as well as the lack of assistance for children with disabilities to remain at home. UNICEF has called for an end to institutionalization worldwide, and European regional branches of UNICEF and WHO have called for a moratorium on new placements of young children. Despite this, governments and international donors continue to support orphanages, and the institutionalization of children continues to grow. The implications of the Méndez report are clear:  governments and donors who support the institutionalization of children are perpetuating </w:t>
      </w:r>
      <w:r w:rsidR="00EB5204">
        <w:rPr>
          <w:i/>
        </w:rPr>
        <w:t xml:space="preserve">an increased </w:t>
      </w:r>
      <w:r w:rsidR="00EB136D" w:rsidRPr="00DA4A7E">
        <w:rPr>
          <w:i/>
        </w:rPr>
        <w:t>risk of torture.</w:t>
      </w:r>
    </w:p>
    <w:p w14:paraId="431C93D2" w14:textId="77777777" w:rsidR="001A3CF6" w:rsidRDefault="00EB136D" w:rsidP="005342F6">
      <w:pPr>
        <w:spacing w:line="240" w:lineRule="auto"/>
        <w:jc w:val="both"/>
        <w:rPr>
          <w:i/>
        </w:rPr>
      </w:pPr>
      <w:r w:rsidRPr="00DA4A7E">
        <w:rPr>
          <w:i/>
        </w:rPr>
        <w:t>The Méndez Report calls for the placement of children in institutions to be limited to the last resort</w:t>
      </w:r>
      <w:r>
        <w:rPr>
          <w:i/>
        </w:rPr>
        <w:t xml:space="preserve">. </w:t>
      </w:r>
      <w:r w:rsidRPr="00DA4A7E">
        <w:rPr>
          <w:i/>
        </w:rPr>
        <w:t xml:space="preserve">   This is consistent with </w:t>
      </w:r>
      <w:r>
        <w:rPr>
          <w:i/>
        </w:rPr>
        <w:t xml:space="preserve">current </w:t>
      </w:r>
      <w:r w:rsidRPr="00DA4A7E">
        <w:rPr>
          <w:i/>
        </w:rPr>
        <w:t xml:space="preserve">interpretations of the Convention on the Rights of the Child (CRC).  In addition, Méndez calls for limiting placement to the shortest time possible in the least restrictive manner. These protections go beyond interpretations of the CRC in General Comment #9 of the </w:t>
      </w:r>
      <w:r>
        <w:rPr>
          <w:i/>
        </w:rPr>
        <w:t xml:space="preserve">CRC </w:t>
      </w:r>
      <w:r w:rsidRPr="00DA4A7E">
        <w:rPr>
          <w:i/>
        </w:rPr>
        <w:t>Committee</w:t>
      </w:r>
      <w:r>
        <w:rPr>
          <w:i/>
        </w:rPr>
        <w:t>.</w:t>
      </w:r>
      <w:r w:rsidRPr="00DA4A7E">
        <w:rPr>
          <w:i/>
        </w:rPr>
        <w:t xml:space="preserve"> Since </w:t>
      </w:r>
      <w:r>
        <w:rPr>
          <w:i/>
        </w:rPr>
        <w:t xml:space="preserve">models of family care exist for all children – and most placement can be avoided by protecting families – </w:t>
      </w:r>
      <w:r w:rsidRPr="00DA4A7E">
        <w:rPr>
          <w:i/>
        </w:rPr>
        <w:t>Méndez</w:t>
      </w:r>
      <w:r>
        <w:rPr>
          <w:i/>
        </w:rPr>
        <w:t>’s</w:t>
      </w:r>
      <w:r w:rsidRPr="00DA4A7E">
        <w:rPr>
          <w:i/>
        </w:rPr>
        <w:t xml:space="preserve"> recommendation would bring an end to long-term placement of children</w:t>
      </w:r>
      <w:r>
        <w:rPr>
          <w:i/>
        </w:rPr>
        <w:t>.</w:t>
      </w:r>
      <w:r w:rsidRPr="00DA4A7E">
        <w:rPr>
          <w:i/>
        </w:rPr>
        <w:t xml:space="preserve"> M</w:t>
      </w:r>
      <w:r w:rsidR="008D7A56">
        <w:rPr>
          <w:i/>
        </w:rPr>
        <w:t>é</w:t>
      </w:r>
      <w:r w:rsidRPr="00DA4A7E">
        <w:rPr>
          <w:i/>
        </w:rPr>
        <w:t>ndez’</w:t>
      </w:r>
      <w:r>
        <w:rPr>
          <w:i/>
        </w:rPr>
        <w:t>s</w:t>
      </w:r>
      <w:r w:rsidRPr="00DA4A7E">
        <w:rPr>
          <w:i/>
        </w:rPr>
        <w:t xml:space="preserve"> recommendations are informed by the UN Convention on the Rights of Persons with Disabilities (CRPD), which protects the right of children to grow up in a family environment. To implement this right, the CRPD Committee has called for an end to the placement of children in institutions.  </w:t>
      </w:r>
      <w:r w:rsidR="00EB5204">
        <w:rPr>
          <w:i/>
        </w:rPr>
        <w:t xml:space="preserve"> General Comment #9 should be updated to harmonize it with the requirements of both CAT and the CRPD.</w:t>
      </w:r>
      <w:r w:rsidR="001A3CF6">
        <w:rPr>
          <w:i/>
        </w:rPr>
        <w:t xml:space="preserve">   </w:t>
      </w:r>
    </w:p>
    <w:p w14:paraId="6642F67D" w14:textId="3A5FBCA6" w:rsidR="00EB136D" w:rsidRPr="00B57B6A" w:rsidRDefault="00EB136D" w:rsidP="005342F6">
      <w:pPr>
        <w:spacing w:line="240" w:lineRule="auto"/>
        <w:jc w:val="both"/>
        <w:rPr>
          <w:rFonts w:ascii="Times New Roman" w:hAnsi="Times New Roman" w:cs="Times New Roman"/>
          <w:b/>
          <w:sz w:val="24"/>
          <w:szCs w:val="24"/>
        </w:rPr>
      </w:pPr>
      <w:r w:rsidRPr="00DA4A7E">
        <w:rPr>
          <w:i/>
        </w:rPr>
        <w:t>Immediate attention is also needed to protect the millions of children now placed in institutions. The protection against torture and ill-treatment is universal, without exception, and does not permit delays in implementation. The lack of funding is not an excuse for leaving children at continued risk. The Méndez Report</w:t>
      </w:r>
      <w:r>
        <w:rPr>
          <w:i/>
        </w:rPr>
        <w:t xml:space="preserve"> demonstrates why </w:t>
      </w:r>
      <w:r w:rsidRPr="00DA4A7E">
        <w:rPr>
          <w:i/>
        </w:rPr>
        <w:t xml:space="preserve">urgent action </w:t>
      </w:r>
      <w:r>
        <w:rPr>
          <w:i/>
        </w:rPr>
        <w:t xml:space="preserve">is needed </w:t>
      </w:r>
      <w:r w:rsidRPr="00DA4A7E">
        <w:rPr>
          <w:i/>
        </w:rPr>
        <w:t xml:space="preserve">to create the community services and family support </w:t>
      </w:r>
      <w:r w:rsidRPr="00DA4A7E">
        <w:rPr>
          <w:i/>
        </w:rPr>
        <w:lastRenderedPageBreak/>
        <w:t xml:space="preserve">systems necessary to ensure that all children live and grow up in a family. </w:t>
      </w:r>
      <w:r>
        <w:rPr>
          <w:i/>
        </w:rPr>
        <w:t xml:space="preserve"> A moratorium on new admissions is the most effective way to fulfill the mandate of the </w:t>
      </w:r>
      <w:r w:rsidRPr="00DA4A7E">
        <w:rPr>
          <w:i/>
        </w:rPr>
        <w:t>Méndez Report</w:t>
      </w:r>
      <w:r>
        <w:rPr>
          <w:i/>
        </w:rPr>
        <w:t xml:space="preserve"> – combined with immediate action to integrate institutionalized children back into families.</w:t>
      </w:r>
    </w:p>
    <w:p w14:paraId="7559FC1C" w14:textId="77777777" w:rsidR="002D634F" w:rsidRPr="00B57B6A" w:rsidRDefault="00802AC4" w:rsidP="00B57B6A">
      <w:pPr>
        <w:spacing w:line="240" w:lineRule="auto"/>
        <w:rPr>
          <w:rFonts w:ascii="Times New Roman" w:hAnsi="Times New Roman" w:cs="Times New Roman"/>
          <w:b/>
          <w:sz w:val="24"/>
          <w:szCs w:val="24"/>
        </w:rPr>
      </w:pPr>
      <w:r w:rsidRPr="00B57B6A">
        <w:rPr>
          <w:rFonts w:ascii="Times New Roman" w:hAnsi="Times New Roman" w:cs="Times New Roman"/>
          <w:b/>
          <w:sz w:val="24"/>
          <w:szCs w:val="24"/>
        </w:rPr>
        <w:br w:type="page"/>
      </w:r>
    </w:p>
    <w:sdt>
      <w:sdtPr>
        <w:rPr>
          <w:rFonts w:ascii="Times New Roman" w:hAnsi="Times New Roman" w:cs="Times New Roman"/>
          <w:b/>
          <w:sz w:val="24"/>
          <w:szCs w:val="24"/>
        </w:rPr>
        <w:id w:val="-1238695663"/>
        <w:docPartObj>
          <w:docPartGallery w:val="Table of Contents"/>
          <w:docPartUnique/>
        </w:docPartObj>
      </w:sdtPr>
      <w:sdtEndPr>
        <w:rPr>
          <w:b w:val="0"/>
          <w:bCs/>
          <w:noProof/>
        </w:rPr>
      </w:sdtEndPr>
      <w:sdtContent>
        <w:p w14:paraId="7DCF9712" w14:textId="7DF68505" w:rsidR="00006F18" w:rsidRPr="006E1A8C" w:rsidRDefault="00006F18" w:rsidP="00B57B6A">
          <w:pPr>
            <w:spacing w:line="240" w:lineRule="auto"/>
            <w:rPr>
              <w:rFonts w:ascii="Times New Roman" w:hAnsi="Times New Roman" w:cs="Times New Roman"/>
              <w:b/>
              <w:sz w:val="24"/>
              <w:szCs w:val="24"/>
            </w:rPr>
          </w:pPr>
          <w:r w:rsidRPr="006E1A8C">
            <w:rPr>
              <w:rFonts w:ascii="Times New Roman" w:hAnsi="Times New Roman" w:cs="Times New Roman"/>
              <w:b/>
              <w:sz w:val="24"/>
              <w:szCs w:val="24"/>
            </w:rPr>
            <w:t>Contents</w:t>
          </w:r>
        </w:p>
        <w:p w14:paraId="4683E598" w14:textId="77777777" w:rsidR="00B574DF" w:rsidRDefault="00006F18">
          <w:pPr>
            <w:pStyle w:val="TOC1"/>
            <w:tabs>
              <w:tab w:val="right" w:leader="dot" w:pos="9350"/>
            </w:tabs>
            <w:rPr>
              <w:rFonts w:eastAsiaTheme="minorEastAsia"/>
              <w:noProof/>
            </w:rPr>
          </w:pPr>
          <w:r w:rsidRPr="00B57B6A">
            <w:rPr>
              <w:rFonts w:ascii="Times New Roman" w:hAnsi="Times New Roman" w:cs="Times New Roman"/>
              <w:sz w:val="24"/>
              <w:szCs w:val="24"/>
            </w:rPr>
            <w:fldChar w:fldCharType="begin"/>
          </w:r>
          <w:r w:rsidRPr="00B57B6A">
            <w:rPr>
              <w:rFonts w:ascii="Times New Roman" w:hAnsi="Times New Roman" w:cs="Times New Roman"/>
              <w:sz w:val="24"/>
              <w:szCs w:val="24"/>
            </w:rPr>
            <w:instrText xml:space="preserve"> TOC \o "1-3" \h \z \u </w:instrText>
          </w:r>
          <w:r w:rsidRPr="00B57B6A">
            <w:rPr>
              <w:rFonts w:ascii="Times New Roman" w:hAnsi="Times New Roman" w:cs="Times New Roman"/>
              <w:sz w:val="24"/>
              <w:szCs w:val="24"/>
            </w:rPr>
            <w:fldChar w:fldCharType="separate"/>
          </w:r>
          <w:hyperlink w:anchor="_Toc471468464" w:history="1">
            <w:r w:rsidR="00B574DF" w:rsidRPr="005C0658">
              <w:rPr>
                <w:rStyle w:val="Hyperlink"/>
                <w:rFonts w:ascii="Times New Roman" w:hAnsi="Times New Roman" w:cs="Times New Roman"/>
                <w:noProof/>
              </w:rPr>
              <w:t>Introduction</w:t>
            </w:r>
            <w:r w:rsidR="00B574DF">
              <w:rPr>
                <w:noProof/>
                <w:webHidden/>
              </w:rPr>
              <w:tab/>
            </w:r>
            <w:r w:rsidR="00B574DF">
              <w:rPr>
                <w:noProof/>
                <w:webHidden/>
              </w:rPr>
              <w:fldChar w:fldCharType="begin"/>
            </w:r>
            <w:r w:rsidR="00B574DF">
              <w:rPr>
                <w:noProof/>
                <w:webHidden/>
              </w:rPr>
              <w:instrText xml:space="preserve"> PAGEREF _Toc471468464 \h </w:instrText>
            </w:r>
            <w:r w:rsidR="00B574DF">
              <w:rPr>
                <w:noProof/>
                <w:webHidden/>
              </w:rPr>
            </w:r>
            <w:r w:rsidR="00B574DF">
              <w:rPr>
                <w:noProof/>
                <w:webHidden/>
              </w:rPr>
              <w:fldChar w:fldCharType="separate"/>
            </w:r>
            <w:r w:rsidR="002010EE">
              <w:rPr>
                <w:noProof/>
                <w:webHidden/>
              </w:rPr>
              <w:t>3</w:t>
            </w:r>
            <w:r w:rsidR="00B574DF">
              <w:rPr>
                <w:noProof/>
                <w:webHidden/>
              </w:rPr>
              <w:fldChar w:fldCharType="end"/>
            </w:r>
          </w:hyperlink>
        </w:p>
        <w:p w14:paraId="4D0BCB64" w14:textId="77777777" w:rsidR="00B574DF" w:rsidRDefault="00D411F2">
          <w:pPr>
            <w:pStyle w:val="TOC1"/>
            <w:tabs>
              <w:tab w:val="left" w:pos="440"/>
              <w:tab w:val="right" w:leader="dot" w:pos="9350"/>
            </w:tabs>
            <w:rPr>
              <w:rFonts w:eastAsiaTheme="minorEastAsia"/>
              <w:noProof/>
            </w:rPr>
          </w:pPr>
          <w:hyperlink w:anchor="_Toc471468465" w:history="1">
            <w:r w:rsidR="00B574DF" w:rsidRPr="005C0658">
              <w:rPr>
                <w:rStyle w:val="Hyperlink"/>
                <w:rFonts w:ascii="Times New Roman" w:hAnsi="Times New Roman" w:cs="Times New Roman"/>
                <w:noProof/>
              </w:rPr>
              <w:t>I.</w:t>
            </w:r>
            <w:r w:rsidR="00B574DF">
              <w:rPr>
                <w:rFonts w:eastAsiaTheme="minorEastAsia"/>
                <w:noProof/>
              </w:rPr>
              <w:tab/>
            </w:r>
            <w:r w:rsidR="00B574DF" w:rsidRPr="005C0658">
              <w:rPr>
                <w:rStyle w:val="Hyperlink"/>
                <w:rFonts w:ascii="Times New Roman" w:hAnsi="Times New Roman" w:cs="Times New Roman"/>
                <w:noProof/>
              </w:rPr>
              <w:t>Scope of the Méndez Report</w:t>
            </w:r>
            <w:r w:rsidR="00B574DF">
              <w:rPr>
                <w:noProof/>
                <w:webHidden/>
              </w:rPr>
              <w:tab/>
            </w:r>
            <w:r w:rsidR="00B574DF">
              <w:rPr>
                <w:noProof/>
                <w:webHidden/>
              </w:rPr>
              <w:fldChar w:fldCharType="begin"/>
            </w:r>
            <w:r w:rsidR="00B574DF">
              <w:rPr>
                <w:noProof/>
                <w:webHidden/>
              </w:rPr>
              <w:instrText xml:space="preserve"> PAGEREF _Toc471468465 \h </w:instrText>
            </w:r>
            <w:r w:rsidR="00B574DF">
              <w:rPr>
                <w:noProof/>
                <w:webHidden/>
              </w:rPr>
            </w:r>
            <w:r w:rsidR="00B574DF">
              <w:rPr>
                <w:noProof/>
                <w:webHidden/>
              </w:rPr>
              <w:fldChar w:fldCharType="separate"/>
            </w:r>
            <w:r w:rsidR="002010EE">
              <w:rPr>
                <w:noProof/>
                <w:webHidden/>
              </w:rPr>
              <w:t>8</w:t>
            </w:r>
            <w:r w:rsidR="00B574DF">
              <w:rPr>
                <w:noProof/>
                <w:webHidden/>
              </w:rPr>
              <w:fldChar w:fldCharType="end"/>
            </w:r>
          </w:hyperlink>
        </w:p>
        <w:p w14:paraId="588686A1" w14:textId="77777777" w:rsidR="00B574DF" w:rsidRDefault="00D411F2" w:rsidP="001A3CF6">
          <w:pPr>
            <w:pStyle w:val="TOC2"/>
            <w:rPr>
              <w:rFonts w:eastAsiaTheme="minorEastAsia"/>
              <w:noProof/>
            </w:rPr>
          </w:pPr>
          <w:hyperlink w:anchor="_Toc471468466" w:history="1">
            <w:r w:rsidR="00B574DF" w:rsidRPr="005C0658">
              <w:rPr>
                <w:rStyle w:val="Hyperlink"/>
                <w:rFonts w:ascii="Times New Roman" w:hAnsi="Times New Roman" w:cs="Times New Roman"/>
                <w:noProof/>
              </w:rPr>
              <w:t>A.</w:t>
            </w:r>
            <w:r w:rsidR="00B574DF">
              <w:rPr>
                <w:rFonts w:eastAsiaTheme="minorEastAsia"/>
                <w:noProof/>
              </w:rPr>
              <w:tab/>
            </w:r>
            <w:r w:rsidR="00B574DF" w:rsidRPr="005C0658">
              <w:rPr>
                <w:rStyle w:val="Hyperlink"/>
                <w:rFonts w:ascii="Times New Roman" w:hAnsi="Times New Roman" w:cs="Times New Roman"/>
                <w:noProof/>
              </w:rPr>
              <w:t>Application to orphanages and other institutions</w:t>
            </w:r>
            <w:r w:rsidR="00B574DF">
              <w:rPr>
                <w:noProof/>
                <w:webHidden/>
              </w:rPr>
              <w:tab/>
            </w:r>
            <w:r w:rsidR="00B574DF">
              <w:rPr>
                <w:noProof/>
                <w:webHidden/>
              </w:rPr>
              <w:fldChar w:fldCharType="begin"/>
            </w:r>
            <w:r w:rsidR="00B574DF">
              <w:rPr>
                <w:noProof/>
                <w:webHidden/>
              </w:rPr>
              <w:instrText xml:space="preserve"> PAGEREF _Toc471468466 \h </w:instrText>
            </w:r>
            <w:r w:rsidR="00B574DF">
              <w:rPr>
                <w:noProof/>
                <w:webHidden/>
              </w:rPr>
            </w:r>
            <w:r w:rsidR="00B574DF">
              <w:rPr>
                <w:noProof/>
                <w:webHidden/>
              </w:rPr>
              <w:fldChar w:fldCharType="separate"/>
            </w:r>
            <w:r w:rsidR="002010EE">
              <w:rPr>
                <w:noProof/>
                <w:webHidden/>
              </w:rPr>
              <w:t>8</w:t>
            </w:r>
            <w:r w:rsidR="00B574DF">
              <w:rPr>
                <w:noProof/>
                <w:webHidden/>
              </w:rPr>
              <w:fldChar w:fldCharType="end"/>
            </w:r>
          </w:hyperlink>
        </w:p>
        <w:p w14:paraId="3BE7BD62" w14:textId="77777777" w:rsidR="00B574DF" w:rsidRDefault="00D411F2" w:rsidP="001A3CF6">
          <w:pPr>
            <w:pStyle w:val="TOC2"/>
            <w:rPr>
              <w:rFonts w:eastAsiaTheme="minorEastAsia"/>
              <w:noProof/>
            </w:rPr>
          </w:pPr>
          <w:hyperlink w:anchor="_Toc471468467" w:history="1">
            <w:r w:rsidR="00B574DF" w:rsidRPr="005C0658">
              <w:rPr>
                <w:rStyle w:val="Hyperlink"/>
                <w:rFonts w:ascii="Times New Roman" w:hAnsi="Times New Roman" w:cs="Times New Roman"/>
                <w:noProof/>
              </w:rPr>
              <w:t>B.</w:t>
            </w:r>
            <w:r w:rsidR="00B574DF">
              <w:rPr>
                <w:rFonts w:eastAsiaTheme="minorEastAsia"/>
                <w:noProof/>
              </w:rPr>
              <w:tab/>
            </w:r>
            <w:r w:rsidR="00B574DF" w:rsidRPr="005C0658">
              <w:rPr>
                <w:rStyle w:val="Hyperlink"/>
                <w:rFonts w:ascii="Times New Roman" w:hAnsi="Times New Roman" w:cs="Times New Roman"/>
                <w:noProof/>
              </w:rPr>
              <w:t>Obligation to regulate international donors</w:t>
            </w:r>
            <w:r w:rsidR="00B574DF">
              <w:rPr>
                <w:noProof/>
                <w:webHidden/>
              </w:rPr>
              <w:tab/>
            </w:r>
            <w:r w:rsidR="00B574DF">
              <w:rPr>
                <w:noProof/>
                <w:webHidden/>
              </w:rPr>
              <w:fldChar w:fldCharType="begin"/>
            </w:r>
            <w:r w:rsidR="00B574DF">
              <w:rPr>
                <w:noProof/>
                <w:webHidden/>
              </w:rPr>
              <w:instrText xml:space="preserve"> PAGEREF _Toc471468467 \h </w:instrText>
            </w:r>
            <w:r w:rsidR="00B574DF">
              <w:rPr>
                <w:noProof/>
                <w:webHidden/>
              </w:rPr>
            </w:r>
            <w:r w:rsidR="00B574DF">
              <w:rPr>
                <w:noProof/>
                <w:webHidden/>
              </w:rPr>
              <w:fldChar w:fldCharType="separate"/>
            </w:r>
            <w:r w:rsidR="002010EE">
              <w:rPr>
                <w:noProof/>
                <w:webHidden/>
              </w:rPr>
              <w:t>10</w:t>
            </w:r>
            <w:r w:rsidR="00B574DF">
              <w:rPr>
                <w:noProof/>
                <w:webHidden/>
              </w:rPr>
              <w:fldChar w:fldCharType="end"/>
            </w:r>
          </w:hyperlink>
        </w:p>
        <w:p w14:paraId="44592BD9" w14:textId="77777777" w:rsidR="00B574DF" w:rsidRDefault="00D411F2">
          <w:pPr>
            <w:pStyle w:val="TOC1"/>
            <w:tabs>
              <w:tab w:val="left" w:pos="440"/>
              <w:tab w:val="right" w:leader="dot" w:pos="9350"/>
            </w:tabs>
            <w:rPr>
              <w:rFonts w:eastAsiaTheme="minorEastAsia"/>
              <w:noProof/>
            </w:rPr>
          </w:pPr>
          <w:hyperlink w:anchor="_Toc471468468" w:history="1">
            <w:r w:rsidR="00B574DF" w:rsidRPr="005C0658">
              <w:rPr>
                <w:rStyle w:val="Hyperlink"/>
                <w:rFonts w:ascii="Times New Roman" w:hAnsi="Times New Roman" w:cs="Times New Roman"/>
                <w:noProof/>
              </w:rPr>
              <w:t>II.</w:t>
            </w:r>
            <w:r w:rsidR="00B574DF">
              <w:rPr>
                <w:rFonts w:eastAsiaTheme="minorEastAsia"/>
                <w:noProof/>
              </w:rPr>
              <w:tab/>
            </w:r>
            <w:r w:rsidR="00B574DF" w:rsidRPr="005C0658">
              <w:rPr>
                <w:rStyle w:val="Hyperlink"/>
                <w:rFonts w:ascii="Times New Roman" w:hAnsi="Times New Roman" w:cs="Times New Roman"/>
                <w:noProof/>
              </w:rPr>
              <w:t>Global context of institutionalization</w:t>
            </w:r>
            <w:r w:rsidR="00B574DF">
              <w:rPr>
                <w:noProof/>
                <w:webHidden/>
              </w:rPr>
              <w:tab/>
            </w:r>
            <w:r w:rsidR="00B574DF">
              <w:rPr>
                <w:noProof/>
                <w:webHidden/>
              </w:rPr>
              <w:fldChar w:fldCharType="begin"/>
            </w:r>
            <w:r w:rsidR="00B574DF">
              <w:rPr>
                <w:noProof/>
                <w:webHidden/>
              </w:rPr>
              <w:instrText xml:space="preserve"> PAGEREF _Toc471468468 \h </w:instrText>
            </w:r>
            <w:r w:rsidR="00B574DF">
              <w:rPr>
                <w:noProof/>
                <w:webHidden/>
              </w:rPr>
            </w:r>
            <w:r w:rsidR="00B574DF">
              <w:rPr>
                <w:noProof/>
                <w:webHidden/>
              </w:rPr>
              <w:fldChar w:fldCharType="separate"/>
            </w:r>
            <w:r w:rsidR="002010EE">
              <w:rPr>
                <w:noProof/>
                <w:webHidden/>
              </w:rPr>
              <w:t>11</w:t>
            </w:r>
            <w:r w:rsidR="00B574DF">
              <w:rPr>
                <w:noProof/>
                <w:webHidden/>
              </w:rPr>
              <w:fldChar w:fldCharType="end"/>
            </w:r>
          </w:hyperlink>
        </w:p>
        <w:p w14:paraId="2BF3F61B" w14:textId="77777777" w:rsidR="00B574DF" w:rsidRDefault="00D411F2" w:rsidP="001A3CF6">
          <w:pPr>
            <w:pStyle w:val="TOC2"/>
            <w:rPr>
              <w:rFonts w:eastAsiaTheme="minorEastAsia"/>
              <w:noProof/>
            </w:rPr>
          </w:pPr>
          <w:hyperlink w:anchor="_Toc471468469" w:history="1">
            <w:r w:rsidR="00B574DF" w:rsidRPr="005C0658">
              <w:rPr>
                <w:rStyle w:val="Hyperlink"/>
                <w:rFonts w:ascii="Times New Roman" w:hAnsi="Times New Roman" w:cs="Times New Roman"/>
                <w:noProof/>
              </w:rPr>
              <w:t>A.</w:t>
            </w:r>
            <w:r w:rsidR="00B574DF">
              <w:rPr>
                <w:rFonts w:eastAsiaTheme="minorEastAsia"/>
                <w:noProof/>
              </w:rPr>
              <w:tab/>
            </w:r>
            <w:r w:rsidR="00B574DF" w:rsidRPr="005C0658">
              <w:rPr>
                <w:rStyle w:val="Hyperlink"/>
                <w:rFonts w:ascii="Times New Roman" w:hAnsi="Times New Roman" w:cs="Times New Roman"/>
                <w:noProof/>
              </w:rPr>
              <w:t>Breadth of institutional placement</w:t>
            </w:r>
            <w:r w:rsidR="00B574DF">
              <w:rPr>
                <w:noProof/>
                <w:webHidden/>
              </w:rPr>
              <w:tab/>
            </w:r>
            <w:r w:rsidR="00B574DF">
              <w:rPr>
                <w:noProof/>
                <w:webHidden/>
              </w:rPr>
              <w:fldChar w:fldCharType="begin"/>
            </w:r>
            <w:r w:rsidR="00B574DF">
              <w:rPr>
                <w:noProof/>
                <w:webHidden/>
              </w:rPr>
              <w:instrText xml:space="preserve"> PAGEREF _Toc471468469 \h </w:instrText>
            </w:r>
            <w:r w:rsidR="00B574DF">
              <w:rPr>
                <w:noProof/>
                <w:webHidden/>
              </w:rPr>
            </w:r>
            <w:r w:rsidR="00B574DF">
              <w:rPr>
                <w:noProof/>
                <w:webHidden/>
              </w:rPr>
              <w:fldChar w:fldCharType="separate"/>
            </w:r>
            <w:r w:rsidR="002010EE">
              <w:rPr>
                <w:noProof/>
                <w:webHidden/>
              </w:rPr>
              <w:t>11</w:t>
            </w:r>
            <w:r w:rsidR="00B574DF">
              <w:rPr>
                <w:noProof/>
                <w:webHidden/>
              </w:rPr>
              <w:fldChar w:fldCharType="end"/>
            </w:r>
          </w:hyperlink>
        </w:p>
        <w:p w14:paraId="49352E38" w14:textId="77777777" w:rsidR="00B574DF" w:rsidRDefault="00D411F2" w:rsidP="001A3CF6">
          <w:pPr>
            <w:pStyle w:val="TOC2"/>
            <w:rPr>
              <w:rFonts w:eastAsiaTheme="minorEastAsia"/>
              <w:noProof/>
            </w:rPr>
          </w:pPr>
          <w:hyperlink w:anchor="_Toc471468470" w:history="1">
            <w:r w:rsidR="00B574DF" w:rsidRPr="005C0658">
              <w:rPr>
                <w:rStyle w:val="Hyperlink"/>
                <w:rFonts w:ascii="Times New Roman" w:hAnsi="Times New Roman" w:cs="Times New Roman"/>
                <w:noProof/>
              </w:rPr>
              <w:t>B.</w:t>
            </w:r>
            <w:r w:rsidR="00B574DF">
              <w:rPr>
                <w:rFonts w:eastAsiaTheme="minorEastAsia"/>
                <w:noProof/>
              </w:rPr>
              <w:tab/>
            </w:r>
            <w:r w:rsidR="00B574DF" w:rsidRPr="005C0658">
              <w:rPr>
                <w:rStyle w:val="Hyperlink"/>
                <w:rFonts w:ascii="Times New Roman" w:hAnsi="Times New Roman" w:cs="Times New Roman"/>
                <w:noProof/>
              </w:rPr>
              <w:t>Inherent dangers of institutionalization</w:t>
            </w:r>
            <w:r w:rsidR="00B574DF">
              <w:rPr>
                <w:noProof/>
                <w:webHidden/>
              </w:rPr>
              <w:tab/>
            </w:r>
            <w:r w:rsidR="00B574DF">
              <w:rPr>
                <w:noProof/>
                <w:webHidden/>
              </w:rPr>
              <w:fldChar w:fldCharType="begin"/>
            </w:r>
            <w:r w:rsidR="00B574DF">
              <w:rPr>
                <w:noProof/>
                <w:webHidden/>
              </w:rPr>
              <w:instrText xml:space="preserve"> PAGEREF _Toc471468470 \h </w:instrText>
            </w:r>
            <w:r w:rsidR="00B574DF">
              <w:rPr>
                <w:noProof/>
                <w:webHidden/>
              </w:rPr>
            </w:r>
            <w:r w:rsidR="00B574DF">
              <w:rPr>
                <w:noProof/>
                <w:webHidden/>
              </w:rPr>
              <w:fldChar w:fldCharType="separate"/>
            </w:r>
            <w:r w:rsidR="002010EE">
              <w:rPr>
                <w:noProof/>
                <w:webHidden/>
              </w:rPr>
              <w:t>13</w:t>
            </w:r>
            <w:r w:rsidR="00B574DF">
              <w:rPr>
                <w:noProof/>
                <w:webHidden/>
              </w:rPr>
              <w:fldChar w:fldCharType="end"/>
            </w:r>
          </w:hyperlink>
        </w:p>
        <w:p w14:paraId="183AEDF7" w14:textId="77777777" w:rsidR="00B574DF" w:rsidRDefault="00D411F2" w:rsidP="001A3CF6">
          <w:pPr>
            <w:pStyle w:val="TOC2"/>
            <w:rPr>
              <w:rFonts w:eastAsiaTheme="minorEastAsia"/>
              <w:noProof/>
            </w:rPr>
          </w:pPr>
          <w:hyperlink w:anchor="_Toc471468471" w:history="1">
            <w:r w:rsidR="00B574DF" w:rsidRPr="005C0658">
              <w:rPr>
                <w:rStyle w:val="Hyperlink"/>
                <w:rFonts w:ascii="Times New Roman" w:hAnsi="Times New Roman" w:cs="Times New Roman"/>
                <w:noProof/>
              </w:rPr>
              <w:t>C.</w:t>
            </w:r>
            <w:r w:rsidR="00B574DF">
              <w:rPr>
                <w:rFonts w:eastAsiaTheme="minorEastAsia"/>
                <w:noProof/>
              </w:rPr>
              <w:tab/>
            </w:r>
            <w:r w:rsidR="00B574DF" w:rsidRPr="005C0658">
              <w:rPr>
                <w:rStyle w:val="Hyperlink"/>
                <w:rFonts w:ascii="Times New Roman" w:hAnsi="Times New Roman" w:cs="Times New Roman"/>
                <w:noProof/>
              </w:rPr>
              <w:t>Mixed international response</w:t>
            </w:r>
            <w:r w:rsidR="00B574DF">
              <w:rPr>
                <w:noProof/>
                <w:webHidden/>
              </w:rPr>
              <w:tab/>
            </w:r>
            <w:r w:rsidR="00B574DF">
              <w:rPr>
                <w:noProof/>
                <w:webHidden/>
              </w:rPr>
              <w:fldChar w:fldCharType="begin"/>
            </w:r>
            <w:r w:rsidR="00B574DF">
              <w:rPr>
                <w:noProof/>
                <w:webHidden/>
              </w:rPr>
              <w:instrText xml:space="preserve"> PAGEREF _Toc471468471 \h </w:instrText>
            </w:r>
            <w:r w:rsidR="00B574DF">
              <w:rPr>
                <w:noProof/>
                <w:webHidden/>
              </w:rPr>
            </w:r>
            <w:r w:rsidR="00B574DF">
              <w:rPr>
                <w:noProof/>
                <w:webHidden/>
              </w:rPr>
              <w:fldChar w:fldCharType="separate"/>
            </w:r>
            <w:r w:rsidR="002010EE">
              <w:rPr>
                <w:noProof/>
                <w:webHidden/>
              </w:rPr>
              <w:t>15</w:t>
            </w:r>
            <w:r w:rsidR="00B574DF">
              <w:rPr>
                <w:noProof/>
                <w:webHidden/>
              </w:rPr>
              <w:fldChar w:fldCharType="end"/>
            </w:r>
          </w:hyperlink>
        </w:p>
        <w:p w14:paraId="27C7EB7B" w14:textId="77777777" w:rsidR="00B574DF" w:rsidRDefault="00D411F2">
          <w:pPr>
            <w:pStyle w:val="TOC1"/>
            <w:tabs>
              <w:tab w:val="left" w:pos="660"/>
              <w:tab w:val="right" w:leader="dot" w:pos="9350"/>
            </w:tabs>
            <w:rPr>
              <w:rFonts w:eastAsiaTheme="minorEastAsia"/>
              <w:noProof/>
            </w:rPr>
          </w:pPr>
          <w:hyperlink w:anchor="_Toc471468472" w:history="1">
            <w:r w:rsidR="00B574DF" w:rsidRPr="005C0658">
              <w:rPr>
                <w:rStyle w:val="Hyperlink"/>
                <w:rFonts w:ascii="Times New Roman" w:hAnsi="Times New Roman" w:cs="Times New Roman"/>
                <w:noProof/>
              </w:rPr>
              <w:t>III.</w:t>
            </w:r>
            <w:r w:rsidR="00B574DF">
              <w:rPr>
                <w:rFonts w:eastAsiaTheme="minorEastAsia"/>
                <w:noProof/>
              </w:rPr>
              <w:tab/>
            </w:r>
            <w:r w:rsidR="00B574DF" w:rsidRPr="005C0658">
              <w:rPr>
                <w:rStyle w:val="Hyperlink"/>
                <w:rFonts w:ascii="Times New Roman" w:hAnsi="Times New Roman" w:cs="Times New Roman"/>
                <w:noProof/>
              </w:rPr>
              <w:t>Obligations of governments</w:t>
            </w:r>
            <w:r w:rsidR="00B574DF">
              <w:rPr>
                <w:noProof/>
                <w:webHidden/>
              </w:rPr>
              <w:tab/>
            </w:r>
            <w:r w:rsidR="00B574DF">
              <w:rPr>
                <w:noProof/>
                <w:webHidden/>
              </w:rPr>
              <w:fldChar w:fldCharType="begin"/>
            </w:r>
            <w:r w:rsidR="00B574DF">
              <w:rPr>
                <w:noProof/>
                <w:webHidden/>
              </w:rPr>
              <w:instrText xml:space="preserve"> PAGEREF _Toc471468472 \h </w:instrText>
            </w:r>
            <w:r w:rsidR="00B574DF">
              <w:rPr>
                <w:noProof/>
                <w:webHidden/>
              </w:rPr>
            </w:r>
            <w:r w:rsidR="00B574DF">
              <w:rPr>
                <w:noProof/>
                <w:webHidden/>
              </w:rPr>
              <w:fldChar w:fldCharType="separate"/>
            </w:r>
            <w:r w:rsidR="002010EE">
              <w:rPr>
                <w:noProof/>
                <w:webHidden/>
              </w:rPr>
              <w:t>16</w:t>
            </w:r>
            <w:r w:rsidR="00B574DF">
              <w:rPr>
                <w:noProof/>
                <w:webHidden/>
              </w:rPr>
              <w:fldChar w:fldCharType="end"/>
            </w:r>
          </w:hyperlink>
        </w:p>
        <w:p w14:paraId="3BA1A3DA" w14:textId="77777777" w:rsidR="00B574DF" w:rsidRDefault="00D411F2" w:rsidP="001A3CF6">
          <w:pPr>
            <w:pStyle w:val="TOC2"/>
            <w:rPr>
              <w:rFonts w:eastAsiaTheme="minorEastAsia"/>
              <w:noProof/>
            </w:rPr>
          </w:pPr>
          <w:hyperlink w:anchor="_Toc471468473" w:history="1">
            <w:r w:rsidR="00B574DF" w:rsidRPr="005C0658">
              <w:rPr>
                <w:rStyle w:val="Hyperlink"/>
                <w:rFonts w:ascii="Times New Roman" w:hAnsi="Times New Roman" w:cs="Times New Roman"/>
                <w:noProof/>
              </w:rPr>
              <w:t>A.</w:t>
            </w:r>
            <w:r w:rsidR="00B574DF">
              <w:rPr>
                <w:rFonts w:eastAsiaTheme="minorEastAsia"/>
                <w:noProof/>
              </w:rPr>
              <w:tab/>
            </w:r>
            <w:r w:rsidR="00B574DF" w:rsidRPr="005C0658">
              <w:rPr>
                <w:rStyle w:val="Hyperlink"/>
                <w:rFonts w:ascii="Times New Roman" w:hAnsi="Times New Roman" w:cs="Times New Roman"/>
                <w:noProof/>
              </w:rPr>
              <w:t>Duty to prevent torture</w:t>
            </w:r>
            <w:r w:rsidR="00B574DF">
              <w:rPr>
                <w:noProof/>
                <w:webHidden/>
              </w:rPr>
              <w:tab/>
            </w:r>
            <w:r w:rsidR="00B574DF">
              <w:rPr>
                <w:noProof/>
                <w:webHidden/>
              </w:rPr>
              <w:fldChar w:fldCharType="begin"/>
            </w:r>
            <w:r w:rsidR="00B574DF">
              <w:rPr>
                <w:noProof/>
                <w:webHidden/>
              </w:rPr>
              <w:instrText xml:space="preserve"> PAGEREF _Toc471468473 \h </w:instrText>
            </w:r>
            <w:r w:rsidR="00B574DF">
              <w:rPr>
                <w:noProof/>
                <w:webHidden/>
              </w:rPr>
            </w:r>
            <w:r w:rsidR="00B574DF">
              <w:rPr>
                <w:noProof/>
                <w:webHidden/>
              </w:rPr>
              <w:fldChar w:fldCharType="separate"/>
            </w:r>
            <w:r w:rsidR="002010EE">
              <w:rPr>
                <w:noProof/>
                <w:webHidden/>
              </w:rPr>
              <w:t>16</w:t>
            </w:r>
            <w:r w:rsidR="00B574DF">
              <w:rPr>
                <w:noProof/>
                <w:webHidden/>
              </w:rPr>
              <w:fldChar w:fldCharType="end"/>
            </w:r>
          </w:hyperlink>
        </w:p>
        <w:p w14:paraId="4317B7B0" w14:textId="77777777" w:rsidR="00B574DF" w:rsidRDefault="00D411F2" w:rsidP="001A3CF6">
          <w:pPr>
            <w:pStyle w:val="TOC2"/>
            <w:rPr>
              <w:rFonts w:eastAsiaTheme="minorEastAsia"/>
              <w:noProof/>
            </w:rPr>
          </w:pPr>
          <w:hyperlink w:anchor="_Toc471468474" w:history="1">
            <w:r w:rsidR="00B574DF" w:rsidRPr="005C0658">
              <w:rPr>
                <w:rStyle w:val="Hyperlink"/>
                <w:rFonts w:ascii="Times New Roman" w:hAnsi="Times New Roman" w:cs="Times New Roman"/>
                <w:noProof/>
              </w:rPr>
              <w:t>B.</w:t>
            </w:r>
            <w:r w:rsidR="00B574DF">
              <w:rPr>
                <w:rFonts w:eastAsiaTheme="minorEastAsia"/>
                <w:noProof/>
              </w:rPr>
              <w:tab/>
            </w:r>
            <w:r w:rsidR="00B574DF" w:rsidRPr="005C0658">
              <w:rPr>
                <w:rStyle w:val="Hyperlink"/>
                <w:rFonts w:ascii="Times New Roman" w:hAnsi="Times New Roman" w:cs="Times New Roman"/>
                <w:noProof/>
              </w:rPr>
              <w:t>Duty to protect against segregation</w:t>
            </w:r>
            <w:r w:rsidR="00B574DF">
              <w:rPr>
                <w:noProof/>
                <w:webHidden/>
              </w:rPr>
              <w:tab/>
            </w:r>
            <w:r w:rsidR="00B574DF">
              <w:rPr>
                <w:noProof/>
                <w:webHidden/>
              </w:rPr>
              <w:fldChar w:fldCharType="begin"/>
            </w:r>
            <w:r w:rsidR="00B574DF">
              <w:rPr>
                <w:noProof/>
                <w:webHidden/>
              </w:rPr>
              <w:instrText xml:space="preserve"> PAGEREF _Toc471468474 \h </w:instrText>
            </w:r>
            <w:r w:rsidR="00B574DF">
              <w:rPr>
                <w:noProof/>
                <w:webHidden/>
              </w:rPr>
            </w:r>
            <w:r w:rsidR="00B574DF">
              <w:rPr>
                <w:noProof/>
                <w:webHidden/>
              </w:rPr>
              <w:fldChar w:fldCharType="separate"/>
            </w:r>
            <w:r w:rsidR="002010EE">
              <w:rPr>
                <w:noProof/>
                <w:webHidden/>
              </w:rPr>
              <w:t>20</w:t>
            </w:r>
            <w:r w:rsidR="00B574DF">
              <w:rPr>
                <w:noProof/>
                <w:webHidden/>
              </w:rPr>
              <w:fldChar w:fldCharType="end"/>
            </w:r>
          </w:hyperlink>
        </w:p>
        <w:p w14:paraId="7FEEBE70" w14:textId="77777777" w:rsidR="00B574DF" w:rsidRDefault="00D411F2">
          <w:pPr>
            <w:pStyle w:val="TOC1"/>
            <w:tabs>
              <w:tab w:val="left" w:pos="660"/>
              <w:tab w:val="right" w:leader="dot" w:pos="9350"/>
            </w:tabs>
            <w:rPr>
              <w:rFonts w:eastAsiaTheme="minorEastAsia"/>
              <w:noProof/>
            </w:rPr>
          </w:pPr>
          <w:hyperlink w:anchor="_Toc471468475" w:history="1">
            <w:r w:rsidR="00B574DF" w:rsidRPr="005C0658">
              <w:rPr>
                <w:rStyle w:val="Hyperlink"/>
                <w:rFonts w:ascii="Times New Roman" w:hAnsi="Times New Roman" w:cs="Times New Roman"/>
                <w:noProof/>
              </w:rPr>
              <w:t>IV.</w:t>
            </w:r>
            <w:r w:rsidR="00B574DF">
              <w:rPr>
                <w:rFonts w:eastAsiaTheme="minorEastAsia"/>
                <w:noProof/>
              </w:rPr>
              <w:tab/>
            </w:r>
            <w:r w:rsidR="00B574DF" w:rsidRPr="005C0658">
              <w:rPr>
                <w:rStyle w:val="Hyperlink"/>
                <w:rFonts w:ascii="Times New Roman" w:hAnsi="Times New Roman" w:cs="Times New Roman"/>
                <w:noProof/>
              </w:rPr>
              <w:t>Standards for Placement of Children in Institutions</w:t>
            </w:r>
            <w:r w:rsidR="00B574DF">
              <w:rPr>
                <w:noProof/>
                <w:webHidden/>
              </w:rPr>
              <w:tab/>
            </w:r>
            <w:r w:rsidR="00B574DF">
              <w:rPr>
                <w:noProof/>
                <w:webHidden/>
              </w:rPr>
              <w:fldChar w:fldCharType="begin"/>
            </w:r>
            <w:r w:rsidR="00B574DF">
              <w:rPr>
                <w:noProof/>
                <w:webHidden/>
              </w:rPr>
              <w:instrText xml:space="preserve"> PAGEREF _Toc471468475 \h </w:instrText>
            </w:r>
            <w:r w:rsidR="00B574DF">
              <w:rPr>
                <w:noProof/>
                <w:webHidden/>
              </w:rPr>
            </w:r>
            <w:r w:rsidR="00B574DF">
              <w:rPr>
                <w:noProof/>
                <w:webHidden/>
              </w:rPr>
              <w:fldChar w:fldCharType="separate"/>
            </w:r>
            <w:r w:rsidR="002010EE">
              <w:rPr>
                <w:noProof/>
                <w:webHidden/>
              </w:rPr>
              <w:t>24</w:t>
            </w:r>
            <w:r w:rsidR="00B574DF">
              <w:rPr>
                <w:noProof/>
                <w:webHidden/>
              </w:rPr>
              <w:fldChar w:fldCharType="end"/>
            </w:r>
          </w:hyperlink>
        </w:p>
        <w:p w14:paraId="050CD749" w14:textId="77777777" w:rsidR="00B574DF" w:rsidRDefault="00D411F2" w:rsidP="001A3CF6">
          <w:pPr>
            <w:pStyle w:val="TOC2"/>
            <w:rPr>
              <w:rFonts w:eastAsiaTheme="minorEastAsia"/>
              <w:noProof/>
            </w:rPr>
          </w:pPr>
          <w:hyperlink w:anchor="_Toc471468476" w:history="1">
            <w:r w:rsidR="00B574DF" w:rsidRPr="005C0658">
              <w:rPr>
                <w:rStyle w:val="Hyperlink"/>
                <w:rFonts w:ascii="Times New Roman" w:hAnsi="Times New Roman" w:cs="Times New Roman"/>
                <w:noProof/>
              </w:rPr>
              <w:t>A.</w:t>
            </w:r>
            <w:r w:rsidR="00B574DF">
              <w:rPr>
                <w:rFonts w:eastAsiaTheme="minorEastAsia"/>
                <w:noProof/>
              </w:rPr>
              <w:tab/>
            </w:r>
            <w:r w:rsidR="00B574DF" w:rsidRPr="005C0658">
              <w:rPr>
                <w:rStyle w:val="Hyperlink"/>
                <w:rFonts w:ascii="Times New Roman" w:hAnsi="Times New Roman" w:cs="Times New Roman"/>
                <w:noProof/>
              </w:rPr>
              <w:t>Implications of the CRPD: a moratorium on orphanage placement</w:t>
            </w:r>
            <w:r w:rsidR="00B574DF">
              <w:rPr>
                <w:noProof/>
                <w:webHidden/>
              </w:rPr>
              <w:tab/>
            </w:r>
            <w:r w:rsidR="00B574DF">
              <w:rPr>
                <w:noProof/>
                <w:webHidden/>
              </w:rPr>
              <w:fldChar w:fldCharType="begin"/>
            </w:r>
            <w:r w:rsidR="00B574DF">
              <w:rPr>
                <w:noProof/>
                <w:webHidden/>
              </w:rPr>
              <w:instrText xml:space="preserve"> PAGEREF _Toc471468476 \h </w:instrText>
            </w:r>
            <w:r w:rsidR="00B574DF">
              <w:rPr>
                <w:noProof/>
                <w:webHidden/>
              </w:rPr>
            </w:r>
            <w:r w:rsidR="00B574DF">
              <w:rPr>
                <w:noProof/>
                <w:webHidden/>
              </w:rPr>
              <w:fldChar w:fldCharType="separate"/>
            </w:r>
            <w:r w:rsidR="002010EE">
              <w:rPr>
                <w:noProof/>
                <w:webHidden/>
              </w:rPr>
              <w:t>24</w:t>
            </w:r>
            <w:r w:rsidR="00B574DF">
              <w:rPr>
                <w:noProof/>
                <w:webHidden/>
              </w:rPr>
              <w:fldChar w:fldCharType="end"/>
            </w:r>
          </w:hyperlink>
        </w:p>
        <w:p w14:paraId="58ABC417" w14:textId="77777777" w:rsidR="00B574DF" w:rsidRDefault="00D411F2" w:rsidP="001A3CF6">
          <w:pPr>
            <w:pStyle w:val="TOC2"/>
            <w:rPr>
              <w:rFonts w:eastAsiaTheme="minorEastAsia"/>
              <w:noProof/>
            </w:rPr>
          </w:pPr>
          <w:hyperlink w:anchor="_Toc471468477" w:history="1">
            <w:r w:rsidR="00B574DF" w:rsidRPr="005C0658">
              <w:rPr>
                <w:rStyle w:val="Hyperlink"/>
                <w:rFonts w:ascii="Times New Roman" w:hAnsi="Times New Roman" w:cs="Times New Roman"/>
                <w:noProof/>
              </w:rPr>
              <w:t>B.</w:t>
            </w:r>
            <w:r w:rsidR="00B574DF">
              <w:rPr>
                <w:rFonts w:eastAsiaTheme="minorEastAsia"/>
                <w:noProof/>
              </w:rPr>
              <w:tab/>
            </w:r>
            <w:r w:rsidR="00B574DF" w:rsidRPr="005C0658">
              <w:rPr>
                <w:rStyle w:val="Hyperlink"/>
                <w:rFonts w:ascii="Times New Roman" w:hAnsi="Times New Roman" w:cs="Times New Roman"/>
                <w:noProof/>
              </w:rPr>
              <w:t>The Protection Against Torture in Detention Standard</w:t>
            </w:r>
            <w:r w:rsidR="00B574DF">
              <w:rPr>
                <w:noProof/>
                <w:webHidden/>
              </w:rPr>
              <w:tab/>
            </w:r>
            <w:r w:rsidR="00B574DF">
              <w:rPr>
                <w:noProof/>
                <w:webHidden/>
              </w:rPr>
              <w:fldChar w:fldCharType="begin"/>
            </w:r>
            <w:r w:rsidR="00B574DF">
              <w:rPr>
                <w:noProof/>
                <w:webHidden/>
              </w:rPr>
              <w:instrText xml:space="preserve"> PAGEREF _Toc471468477 \h </w:instrText>
            </w:r>
            <w:r w:rsidR="00B574DF">
              <w:rPr>
                <w:noProof/>
                <w:webHidden/>
              </w:rPr>
            </w:r>
            <w:r w:rsidR="00B574DF">
              <w:rPr>
                <w:noProof/>
                <w:webHidden/>
              </w:rPr>
              <w:fldChar w:fldCharType="separate"/>
            </w:r>
            <w:r w:rsidR="002010EE">
              <w:rPr>
                <w:noProof/>
                <w:webHidden/>
              </w:rPr>
              <w:t>26</w:t>
            </w:r>
            <w:r w:rsidR="00B574DF">
              <w:rPr>
                <w:noProof/>
                <w:webHidden/>
              </w:rPr>
              <w:fldChar w:fldCharType="end"/>
            </w:r>
          </w:hyperlink>
        </w:p>
        <w:p w14:paraId="508E8584" w14:textId="77777777" w:rsidR="00B574DF" w:rsidRDefault="00D411F2" w:rsidP="001A3CF6">
          <w:pPr>
            <w:pStyle w:val="TOC2"/>
            <w:rPr>
              <w:rFonts w:eastAsiaTheme="minorEastAsia"/>
              <w:noProof/>
            </w:rPr>
          </w:pPr>
          <w:hyperlink w:anchor="_Toc471468478" w:history="1">
            <w:r w:rsidR="00B574DF" w:rsidRPr="005C0658">
              <w:rPr>
                <w:rStyle w:val="Hyperlink"/>
                <w:rFonts w:ascii="Times New Roman" w:hAnsi="Times New Roman" w:cs="Times New Roman"/>
                <w:noProof/>
              </w:rPr>
              <w:t>C.</w:t>
            </w:r>
            <w:r w:rsidR="00B574DF">
              <w:rPr>
                <w:rFonts w:eastAsiaTheme="minorEastAsia"/>
                <w:noProof/>
              </w:rPr>
              <w:tab/>
            </w:r>
            <w:r w:rsidR="00B574DF" w:rsidRPr="005C0658">
              <w:rPr>
                <w:rStyle w:val="Hyperlink"/>
                <w:rFonts w:ascii="Times New Roman" w:hAnsi="Times New Roman" w:cs="Times New Roman"/>
                <w:noProof/>
              </w:rPr>
              <w:t>General Comment #9</w:t>
            </w:r>
            <w:r w:rsidR="00B574DF">
              <w:rPr>
                <w:noProof/>
                <w:webHidden/>
              </w:rPr>
              <w:tab/>
            </w:r>
            <w:r w:rsidR="00B574DF">
              <w:rPr>
                <w:noProof/>
                <w:webHidden/>
              </w:rPr>
              <w:fldChar w:fldCharType="begin"/>
            </w:r>
            <w:r w:rsidR="00B574DF">
              <w:rPr>
                <w:noProof/>
                <w:webHidden/>
              </w:rPr>
              <w:instrText xml:space="preserve"> PAGEREF _Toc471468478 \h </w:instrText>
            </w:r>
            <w:r w:rsidR="00B574DF">
              <w:rPr>
                <w:noProof/>
                <w:webHidden/>
              </w:rPr>
            </w:r>
            <w:r w:rsidR="00B574DF">
              <w:rPr>
                <w:noProof/>
                <w:webHidden/>
              </w:rPr>
              <w:fldChar w:fldCharType="separate"/>
            </w:r>
            <w:r w:rsidR="002010EE">
              <w:rPr>
                <w:noProof/>
                <w:webHidden/>
              </w:rPr>
              <w:t>28</w:t>
            </w:r>
            <w:r w:rsidR="00B574DF">
              <w:rPr>
                <w:noProof/>
                <w:webHidden/>
              </w:rPr>
              <w:fldChar w:fldCharType="end"/>
            </w:r>
          </w:hyperlink>
        </w:p>
        <w:p w14:paraId="06A4E6A8" w14:textId="77777777" w:rsidR="00B574DF" w:rsidRDefault="00D411F2" w:rsidP="001A3CF6">
          <w:pPr>
            <w:pStyle w:val="TOC2"/>
            <w:rPr>
              <w:rFonts w:eastAsiaTheme="minorEastAsia"/>
              <w:noProof/>
            </w:rPr>
          </w:pPr>
          <w:hyperlink w:anchor="_Toc471468479" w:history="1">
            <w:r w:rsidR="00B574DF" w:rsidRPr="005C0658">
              <w:rPr>
                <w:rStyle w:val="Hyperlink"/>
                <w:rFonts w:ascii="Times New Roman" w:hAnsi="Times New Roman" w:cs="Times New Roman"/>
                <w:noProof/>
              </w:rPr>
              <w:t>D.</w:t>
            </w:r>
            <w:r w:rsidR="00B574DF">
              <w:rPr>
                <w:rFonts w:eastAsiaTheme="minorEastAsia"/>
                <w:noProof/>
              </w:rPr>
              <w:tab/>
            </w:r>
            <w:r w:rsidR="00B574DF" w:rsidRPr="005C0658">
              <w:rPr>
                <w:rStyle w:val="Hyperlink"/>
                <w:rFonts w:ascii="Times New Roman" w:hAnsi="Times New Roman" w:cs="Times New Roman"/>
                <w:noProof/>
              </w:rPr>
              <w:t>Least restrictive environment: the problem of group homes</w:t>
            </w:r>
            <w:r w:rsidR="00B574DF">
              <w:rPr>
                <w:noProof/>
                <w:webHidden/>
              </w:rPr>
              <w:tab/>
            </w:r>
            <w:r w:rsidR="00B574DF">
              <w:rPr>
                <w:noProof/>
                <w:webHidden/>
              </w:rPr>
              <w:fldChar w:fldCharType="begin"/>
            </w:r>
            <w:r w:rsidR="00B574DF">
              <w:rPr>
                <w:noProof/>
                <w:webHidden/>
              </w:rPr>
              <w:instrText xml:space="preserve"> PAGEREF _Toc471468479 \h </w:instrText>
            </w:r>
            <w:r w:rsidR="00B574DF">
              <w:rPr>
                <w:noProof/>
                <w:webHidden/>
              </w:rPr>
            </w:r>
            <w:r w:rsidR="00B574DF">
              <w:rPr>
                <w:noProof/>
                <w:webHidden/>
              </w:rPr>
              <w:fldChar w:fldCharType="separate"/>
            </w:r>
            <w:r w:rsidR="002010EE">
              <w:rPr>
                <w:noProof/>
                <w:webHidden/>
              </w:rPr>
              <w:t>29</w:t>
            </w:r>
            <w:r w:rsidR="00B574DF">
              <w:rPr>
                <w:noProof/>
                <w:webHidden/>
              </w:rPr>
              <w:fldChar w:fldCharType="end"/>
            </w:r>
          </w:hyperlink>
        </w:p>
        <w:p w14:paraId="7F317C5D" w14:textId="77777777" w:rsidR="00B574DF" w:rsidRDefault="00D411F2" w:rsidP="001A3CF6">
          <w:pPr>
            <w:pStyle w:val="TOC2"/>
            <w:rPr>
              <w:rFonts w:eastAsiaTheme="minorEastAsia"/>
              <w:noProof/>
            </w:rPr>
          </w:pPr>
          <w:hyperlink w:anchor="_Toc471468480" w:history="1">
            <w:r w:rsidR="00B574DF" w:rsidRPr="005C0658">
              <w:rPr>
                <w:rStyle w:val="Hyperlink"/>
                <w:rFonts w:ascii="Times New Roman" w:hAnsi="Times New Roman" w:cs="Times New Roman"/>
                <w:noProof/>
              </w:rPr>
              <w:t>E.</w:t>
            </w:r>
            <w:r w:rsidR="00B574DF">
              <w:rPr>
                <w:rFonts w:eastAsiaTheme="minorEastAsia"/>
                <w:noProof/>
              </w:rPr>
              <w:tab/>
            </w:r>
            <w:r w:rsidR="00B574DF" w:rsidRPr="005C0658">
              <w:rPr>
                <w:rStyle w:val="Hyperlink"/>
                <w:rFonts w:ascii="Times New Roman" w:hAnsi="Times New Roman" w:cs="Times New Roman"/>
                <w:noProof/>
              </w:rPr>
              <w:t>Inclusion of children and adults with disabilities</w:t>
            </w:r>
            <w:r w:rsidR="00B574DF">
              <w:rPr>
                <w:noProof/>
                <w:webHidden/>
              </w:rPr>
              <w:tab/>
            </w:r>
            <w:r w:rsidR="00B574DF">
              <w:rPr>
                <w:noProof/>
                <w:webHidden/>
              </w:rPr>
              <w:fldChar w:fldCharType="begin"/>
            </w:r>
            <w:r w:rsidR="00B574DF">
              <w:rPr>
                <w:noProof/>
                <w:webHidden/>
              </w:rPr>
              <w:instrText xml:space="preserve"> PAGEREF _Toc471468480 \h </w:instrText>
            </w:r>
            <w:r w:rsidR="00B574DF">
              <w:rPr>
                <w:noProof/>
                <w:webHidden/>
              </w:rPr>
            </w:r>
            <w:r w:rsidR="00B574DF">
              <w:rPr>
                <w:noProof/>
                <w:webHidden/>
              </w:rPr>
              <w:fldChar w:fldCharType="separate"/>
            </w:r>
            <w:r w:rsidR="002010EE">
              <w:rPr>
                <w:noProof/>
                <w:webHidden/>
              </w:rPr>
              <w:t>32</w:t>
            </w:r>
            <w:r w:rsidR="00B574DF">
              <w:rPr>
                <w:noProof/>
                <w:webHidden/>
              </w:rPr>
              <w:fldChar w:fldCharType="end"/>
            </w:r>
          </w:hyperlink>
        </w:p>
        <w:p w14:paraId="287D0AFA" w14:textId="18DFC51D" w:rsidR="00B574DF" w:rsidRDefault="00D411F2">
          <w:pPr>
            <w:pStyle w:val="TOC1"/>
            <w:tabs>
              <w:tab w:val="left" w:pos="440"/>
              <w:tab w:val="right" w:leader="dot" w:pos="9350"/>
            </w:tabs>
            <w:rPr>
              <w:rFonts w:eastAsiaTheme="minorEastAsia"/>
              <w:noProof/>
            </w:rPr>
          </w:pPr>
          <w:hyperlink w:anchor="_Toc471468481" w:history="1">
            <w:r w:rsidR="00B574DF" w:rsidRPr="005C0658">
              <w:rPr>
                <w:rStyle w:val="Hyperlink"/>
                <w:rFonts w:ascii="Times New Roman" w:hAnsi="Times New Roman" w:cs="Times New Roman"/>
                <w:noProof/>
              </w:rPr>
              <w:t>V.</w:t>
            </w:r>
            <w:r w:rsidR="00B574DF">
              <w:rPr>
                <w:rFonts w:eastAsiaTheme="minorEastAsia"/>
                <w:noProof/>
              </w:rPr>
              <w:tab/>
              <w:t xml:space="preserve">    </w:t>
            </w:r>
            <w:r w:rsidR="00B574DF" w:rsidRPr="005C0658">
              <w:rPr>
                <w:rStyle w:val="Hyperlink"/>
                <w:rFonts w:ascii="Times New Roman" w:hAnsi="Times New Roman" w:cs="Times New Roman"/>
                <w:noProof/>
              </w:rPr>
              <w:t>Ill-treatment and torture in institutions</w:t>
            </w:r>
            <w:r w:rsidR="00B574DF">
              <w:rPr>
                <w:noProof/>
                <w:webHidden/>
              </w:rPr>
              <w:tab/>
            </w:r>
            <w:r w:rsidR="00B574DF">
              <w:rPr>
                <w:noProof/>
                <w:webHidden/>
              </w:rPr>
              <w:fldChar w:fldCharType="begin"/>
            </w:r>
            <w:r w:rsidR="00B574DF">
              <w:rPr>
                <w:noProof/>
                <w:webHidden/>
              </w:rPr>
              <w:instrText xml:space="preserve"> PAGEREF _Toc471468481 \h </w:instrText>
            </w:r>
            <w:r w:rsidR="00B574DF">
              <w:rPr>
                <w:noProof/>
                <w:webHidden/>
              </w:rPr>
            </w:r>
            <w:r w:rsidR="00B574DF">
              <w:rPr>
                <w:noProof/>
                <w:webHidden/>
              </w:rPr>
              <w:fldChar w:fldCharType="separate"/>
            </w:r>
            <w:r w:rsidR="002010EE">
              <w:rPr>
                <w:noProof/>
                <w:webHidden/>
              </w:rPr>
              <w:t>33</w:t>
            </w:r>
            <w:r w:rsidR="00B574DF">
              <w:rPr>
                <w:noProof/>
                <w:webHidden/>
              </w:rPr>
              <w:fldChar w:fldCharType="end"/>
            </w:r>
          </w:hyperlink>
        </w:p>
        <w:p w14:paraId="601AD0CA" w14:textId="77777777" w:rsidR="00B574DF" w:rsidRDefault="00D411F2">
          <w:pPr>
            <w:pStyle w:val="TOC1"/>
            <w:tabs>
              <w:tab w:val="left" w:pos="660"/>
              <w:tab w:val="right" w:leader="dot" w:pos="9350"/>
            </w:tabs>
            <w:rPr>
              <w:rFonts w:eastAsiaTheme="minorEastAsia"/>
              <w:noProof/>
            </w:rPr>
          </w:pPr>
          <w:hyperlink w:anchor="_Toc471468482" w:history="1">
            <w:r w:rsidR="00B574DF" w:rsidRPr="005C0658">
              <w:rPr>
                <w:rStyle w:val="Hyperlink"/>
                <w:rFonts w:ascii="Times New Roman" w:hAnsi="Times New Roman" w:cs="Times New Roman"/>
                <w:noProof/>
              </w:rPr>
              <w:t>VI.</w:t>
            </w:r>
            <w:r w:rsidR="00B574DF">
              <w:rPr>
                <w:rFonts w:eastAsiaTheme="minorEastAsia"/>
                <w:noProof/>
              </w:rPr>
              <w:tab/>
            </w:r>
            <w:r w:rsidR="00B574DF" w:rsidRPr="005C0658">
              <w:rPr>
                <w:rStyle w:val="Hyperlink"/>
                <w:rFonts w:ascii="Times New Roman" w:hAnsi="Times New Roman" w:cs="Times New Roman"/>
                <w:noProof/>
              </w:rPr>
              <w:t>Protecting against torture within institutions</w:t>
            </w:r>
            <w:r w:rsidR="00B574DF">
              <w:rPr>
                <w:noProof/>
                <w:webHidden/>
              </w:rPr>
              <w:tab/>
            </w:r>
            <w:r w:rsidR="00B574DF">
              <w:rPr>
                <w:noProof/>
                <w:webHidden/>
              </w:rPr>
              <w:fldChar w:fldCharType="begin"/>
            </w:r>
            <w:r w:rsidR="00B574DF">
              <w:rPr>
                <w:noProof/>
                <w:webHidden/>
              </w:rPr>
              <w:instrText xml:space="preserve"> PAGEREF _Toc471468482 \h </w:instrText>
            </w:r>
            <w:r w:rsidR="00B574DF">
              <w:rPr>
                <w:noProof/>
                <w:webHidden/>
              </w:rPr>
            </w:r>
            <w:r w:rsidR="00B574DF">
              <w:rPr>
                <w:noProof/>
                <w:webHidden/>
              </w:rPr>
              <w:fldChar w:fldCharType="separate"/>
            </w:r>
            <w:r w:rsidR="002010EE">
              <w:rPr>
                <w:noProof/>
                <w:webHidden/>
              </w:rPr>
              <w:t>36</w:t>
            </w:r>
            <w:r w:rsidR="00B574DF">
              <w:rPr>
                <w:noProof/>
                <w:webHidden/>
              </w:rPr>
              <w:fldChar w:fldCharType="end"/>
            </w:r>
          </w:hyperlink>
        </w:p>
        <w:p w14:paraId="7FC8C985" w14:textId="77777777" w:rsidR="00B574DF" w:rsidRDefault="00D411F2" w:rsidP="001A3CF6">
          <w:pPr>
            <w:pStyle w:val="TOC2"/>
            <w:rPr>
              <w:rFonts w:eastAsiaTheme="minorEastAsia"/>
              <w:noProof/>
            </w:rPr>
          </w:pPr>
          <w:hyperlink w:anchor="_Toc471468483" w:history="1">
            <w:r w:rsidR="00B574DF" w:rsidRPr="005C0658">
              <w:rPr>
                <w:rStyle w:val="Hyperlink"/>
                <w:rFonts w:ascii="Times New Roman" w:hAnsi="Times New Roman" w:cs="Times New Roman"/>
                <w:noProof/>
              </w:rPr>
              <w:t>A.</w:t>
            </w:r>
            <w:r w:rsidR="00B574DF">
              <w:rPr>
                <w:rFonts w:eastAsiaTheme="minorEastAsia"/>
                <w:noProof/>
              </w:rPr>
              <w:tab/>
            </w:r>
            <w:r w:rsidR="00B574DF" w:rsidRPr="005C0658">
              <w:rPr>
                <w:rStyle w:val="Hyperlink"/>
                <w:rFonts w:ascii="Times New Roman" w:hAnsi="Times New Roman" w:cs="Times New Roman"/>
                <w:noProof/>
              </w:rPr>
              <w:t>Danger of Perpetuating Segregation</w:t>
            </w:r>
            <w:r w:rsidR="00B574DF">
              <w:rPr>
                <w:noProof/>
                <w:webHidden/>
              </w:rPr>
              <w:tab/>
            </w:r>
            <w:r w:rsidR="00B574DF">
              <w:rPr>
                <w:noProof/>
                <w:webHidden/>
              </w:rPr>
              <w:fldChar w:fldCharType="begin"/>
            </w:r>
            <w:r w:rsidR="00B574DF">
              <w:rPr>
                <w:noProof/>
                <w:webHidden/>
              </w:rPr>
              <w:instrText xml:space="preserve"> PAGEREF _Toc471468483 \h </w:instrText>
            </w:r>
            <w:r w:rsidR="00B574DF">
              <w:rPr>
                <w:noProof/>
                <w:webHidden/>
              </w:rPr>
            </w:r>
            <w:r w:rsidR="00B574DF">
              <w:rPr>
                <w:noProof/>
                <w:webHidden/>
              </w:rPr>
              <w:fldChar w:fldCharType="separate"/>
            </w:r>
            <w:r w:rsidR="002010EE">
              <w:rPr>
                <w:noProof/>
                <w:webHidden/>
              </w:rPr>
              <w:t>36</w:t>
            </w:r>
            <w:r w:rsidR="00B574DF">
              <w:rPr>
                <w:noProof/>
                <w:webHidden/>
              </w:rPr>
              <w:fldChar w:fldCharType="end"/>
            </w:r>
          </w:hyperlink>
        </w:p>
        <w:p w14:paraId="54E7E1FC" w14:textId="77777777" w:rsidR="00B574DF" w:rsidRDefault="00D411F2" w:rsidP="001A3CF6">
          <w:pPr>
            <w:pStyle w:val="TOC2"/>
            <w:rPr>
              <w:rFonts w:eastAsiaTheme="minorEastAsia"/>
              <w:noProof/>
            </w:rPr>
          </w:pPr>
          <w:hyperlink w:anchor="_Toc471468484" w:history="1">
            <w:r w:rsidR="00B574DF" w:rsidRPr="005C0658">
              <w:rPr>
                <w:rStyle w:val="Hyperlink"/>
                <w:rFonts w:ascii="Times New Roman" w:hAnsi="Times New Roman" w:cs="Times New Roman"/>
                <w:noProof/>
              </w:rPr>
              <w:t>B.</w:t>
            </w:r>
            <w:r w:rsidR="00B574DF">
              <w:rPr>
                <w:rFonts w:eastAsiaTheme="minorEastAsia"/>
                <w:noProof/>
              </w:rPr>
              <w:tab/>
            </w:r>
            <w:r w:rsidR="00B574DF" w:rsidRPr="005C0658">
              <w:rPr>
                <w:rStyle w:val="Hyperlink"/>
                <w:rFonts w:ascii="Times New Roman" w:hAnsi="Times New Roman" w:cs="Times New Roman"/>
                <w:noProof/>
              </w:rPr>
              <w:t>Immediate enforcement needed</w:t>
            </w:r>
            <w:r w:rsidR="00B574DF">
              <w:rPr>
                <w:noProof/>
                <w:webHidden/>
              </w:rPr>
              <w:tab/>
            </w:r>
            <w:r w:rsidR="00B574DF">
              <w:rPr>
                <w:noProof/>
                <w:webHidden/>
              </w:rPr>
              <w:fldChar w:fldCharType="begin"/>
            </w:r>
            <w:r w:rsidR="00B574DF">
              <w:rPr>
                <w:noProof/>
                <w:webHidden/>
              </w:rPr>
              <w:instrText xml:space="preserve"> PAGEREF _Toc471468484 \h </w:instrText>
            </w:r>
            <w:r w:rsidR="00B574DF">
              <w:rPr>
                <w:noProof/>
                <w:webHidden/>
              </w:rPr>
            </w:r>
            <w:r w:rsidR="00B574DF">
              <w:rPr>
                <w:noProof/>
                <w:webHidden/>
              </w:rPr>
              <w:fldChar w:fldCharType="separate"/>
            </w:r>
            <w:r w:rsidR="002010EE">
              <w:rPr>
                <w:noProof/>
                <w:webHidden/>
              </w:rPr>
              <w:t>37</w:t>
            </w:r>
            <w:r w:rsidR="00B574DF">
              <w:rPr>
                <w:noProof/>
                <w:webHidden/>
              </w:rPr>
              <w:fldChar w:fldCharType="end"/>
            </w:r>
          </w:hyperlink>
        </w:p>
        <w:p w14:paraId="5ED56553" w14:textId="77777777" w:rsidR="00B574DF" w:rsidRDefault="00D411F2" w:rsidP="001A3CF6">
          <w:pPr>
            <w:pStyle w:val="TOC2"/>
            <w:rPr>
              <w:rFonts w:eastAsiaTheme="minorEastAsia"/>
              <w:noProof/>
            </w:rPr>
          </w:pPr>
          <w:hyperlink w:anchor="_Toc471468485" w:history="1">
            <w:r w:rsidR="00B574DF" w:rsidRPr="005C0658">
              <w:rPr>
                <w:rStyle w:val="Hyperlink"/>
                <w:rFonts w:ascii="Times New Roman" w:hAnsi="Times New Roman" w:cs="Times New Roman"/>
                <w:noProof/>
              </w:rPr>
              <w:t>C.</w:t>
            </w:r>
            <w:r w:rsidR="00B574DF">
              <w:rPr>
                <w:rFonts w:eastAsiaTheme="minorEastAsia"/>
                <w:noProof/>
              </w:rPr>
              <w:tab/>
            </w:r>
            <w:r w:rsidR="00B574DF" w:rsidRPr="005C0658">
              <w:rPr>
                <w:rStyle w:val="Hyperlink"/>
                <w:rFonts w:ascii="Times New Roman" w:hAnsi="Times New Roman" w:cs="Times New Roman"/>
                <w:noProof/>
              </w:rPr>
              <w:t>Implementing protections against restraints</w:t>
            </w:r>
            <w:r w:rsidR="00B574DF">
              <w:rPr>
                <w:noProof/>
                <w:webHidden/>
              </w:rPr>
              <w:tab/>
            </w:r>
            <w:r w:rsidR="00B574DF">
              <w:rPr>
                <w:noProof/>
                <w:webHidden/>
              </w:rPr>
              <w:fldChar w:fldCharType="begin"/>
            </w:r>
            <w:r w:rsidR="00B574DF">
              <w:rPr>
                <w:noProof/>
                <w:webHidden/>
              </w:rPr>
              <w:instrText xml:space="preserve"> PAGEREF _Toc471468485 \h </w:instrText>
            </w:r>
            <w:r w:rsidR="00B574DF">
              <w:rPr>
                <w:noProof/>
                <w:webHidden/>
              </w:rPr>
            </w:r>
            <w:r w:rsidR="00B574DF">
              <w:rPr>
                <w:noProof/>
                <w:webHidden/>
              </w:rPr>
              <w:fldChar w:fldCharType="separate"/>
            </w:r>
            <w:r w:rsidR="002010EE">
              <w:rPr>
                <w:noProof/>
                <w:webHidden/>
              </w:rPr>
              <w:t>38</w:t>
            </w:r>
            <w:r w:rsidR="00B574DF">
              <w:rPr>
                <w:noProof/>
                <w:webHidden/>
              </w:rPr>
              <w:fldChar w:fldCharType="end"/>
            </w:r>
          </w:hyperlink>
        </w:p>
        <w:p w14:paraId="3B9D06C1" w14:textId="77777777" w:rsidR="00B574DF" w:rsidRDefault="00D411F2" w:rsidP="001A3CF6">
          <w:pPr>
            <w:pStyle w:val="TOC2"/>
            <w:rPr>
              <w:rFonts w:eastAsiaTheme="minorEastAsia"/>
              <w:noProof/>
            </w:rPr>
          </w:pPr>
          <w:hyperlink w:anchor="_Toc471468486" w:history="1">
            <w:r w:rsidR="00B574DF" w:rsidRPr="005C0658">
              <w:rPr>
                <w:rStyle w:val="Hyperlink"/>
                <w:rFonts w:ascii="Times New Roman" w:hAnsi="Times New Roman" w:cs="Times New Roman"/>
                <w:noProof/>
              </w:rPr>
              <w:t>D.</w:t>
            </w:r>
            <w:r w:rsidR="00B574DF">
              <w:rPr>
                <w:rFonts w:eastAsiaTheme="minorEastAsia"/>
                <w:noProof/>
              </w:rPr>
              <w:tab/>
            </w:r>
            <w:r w:rsidR="00B574DF" w:rsidRPr="005C0658">
              <w:rPr>
                <w:rStyle w:val="Hyperlink"/>
                <w:rFonts w:ascii="Times New Roman" w:hAnsi="Times New Roman" w:cs="Times New Roman"/>
                <w:noProof/>
              </w:rPr>
              <w:t>Oversight and monitoring</w:t>
            </w:r>
            <w:r w:rsidR="00B574DF">
              <w:rPr>
                <w:noProof/>
                <w:webHidden/>
              </w:rPr>
              <w:tab/>
            </w:r>
            <w:r w:rsidR="00B574DF">
              <w:rPr>
                <w:noProof/>
                <w:webHidden/>
              </w:rPr>
              <w:fldChar w:fldCharType="begin"/>
            </w:r>
            <w:r w:rsidR="00B574DF">
              <w:rPr>
                <w:noProof/>
                <w:webHidden/>
              </w:rPr>
              <w:instrText xml:space="preserve"> PAGEREF _Toc471468486 \h </w:instrText>
            </w:r>
            <w:r w:rsidR="00B574DF">
              <w:rPr>
                <w:noProof/>
                <w:webHidden/>
              </w:rPr>
            </w:r>
            <w:r w:rsidR="00B574DF">
              <w:rPr>
                <w:noProof/>
                <w:webHidden/>
              </w:rPr>
              <w:fldChar w:fldCharType="separate"/>
            </w:r>
            <w:r w:rsidR="002010EE">
              <w:rPr>
                <w:noProof/>
                <w:webHidden/>
              </w:rPr>
              <w:t>42</w:t>
            </w:r>
            <w:r w:rsidR="00B574DF">
              <w:rPr>
                <w:noProof/>
                <w:webHidden/>
              </w:rPr>
              <w:fldChar w:fldCharType="end"/>
            </w:r>
          </w:hyperlink>
        </w:p>
        <w:p w14:paraId="1218FFA5" w14:textId="54A7781D" w:rsidR="00B574DF" w:rsidRDefault="00D411F2" w:rsidP="001A3CF6">
          <w:pPr>
            <w:pStyle w:val="TOC2"/>
            <w:rPr>
              <w:rFonts w:eastAsiaTheme="minorEastAsia"/>
              <w:noProof/>
            </w:rPr>
          </w:pPr>
          <w:hyperlink w:anchor="_Toc471468487" w:history="1">
            <w:r w:rsidR="00B574DF" w:rsidRPr="005C0658">
              <w:rPr>
                <w:rStyle w:val="Hyperlink"/>
                <w:rFonts w:ascii="Times New Roman" w:hAnsi="Times New Roman" w:cs="Times New Roman"/>
                <w:noProof/>
              </w:rPr>
              <w:t xml:space="preserve">E. </w:t>
            </w:r>
            <w:r w:rsidR="00993356">
              <w:rPr>
                <w:rStyle w:val="Hyperlink"/>
                <w:rFonts w:ascii="Times New Roman" w:hAnsi="Times New Roman" w:cs="Times New Roman"/>
                <w:noProof/>
              </w:rPr>
              <w:t xml:space="preserve">    </w:t>
            </w:r>
            <w:r w:rsidR="00B574DF" w:rsidRPr="005C0658">
              <w:rPr>
                <w:rStyle w:val="Hyperlink"/>
                <w:rFonts w:ascii="Times New Roman" w:hAnsi="Times New Roman" w:cs="Times New Roman"/>
                <w:noProof/>
              </w:rPr>
              <w:t>Benefits of a moratorium</w:t>
            </w:r>
            <w:r w:rsidR="00B574DF">
              <w:rPr>
                <w:noProof/>
                <w:webHidden/>
              </w:rPr>
              <w:tab/>
            </w:r>
            <w:r w:rsidR="00B574DF">
              <w:rPr>
                <w:noProof/>
                <w:webHidden/>
              </w:rPr>
              <w:fldChar w:fldCharType="begin"/>
            </w:r>
            <w:r w:rsidR="00B574DF">
              <w:rPr>
                <w:noProof/>
                <w:webHidden/>
              </w:rPr>
              <w:instrText xml:space="preserve"> PAGEREF _Toc471468487 \h </w:instrText>
            </w:r>
            <w:r w:rsidR="00B574DF">
              <w:rPr>
                <w:noProof/>
                <w:webHidden/>
              </w:rPr>
            </w:r>
            <w:r w:rsidR="00B574DF">
              <w:rPr>
                <w:noProof/>
                <w:webHidden/>
              </w:rPr>
              <w:fldChar w:fldCharType="separate"/>
            </w:r>
            <w:r w:rsidR="002010EE">
              <w:rPr>
                <w:noProof/>
                <w:webHidden/>
              </w:rPr>
              <w:t>43</w:t>
            </w:r>
            <w:r w:rsidR="00B574DF">
              <w:rPr>
                <w:noProof/>
                <w:webHidden/>
              </w:rPr>
              <w:fldChar w:fldCharType="end"/>
            </w:r>
          </w:hyperlink>
        </w:p>
        <w:p w14:paraId="64141523" w14:textId="77777777" w:rsidR="00B574DF" w:rsidRDefault="00D411F2">
          <w:pPr>
            <w:pStyle w:val="TOC1"/>
            <w:tabs>
              <w:tab w:val="left" w:pos="660"/>
              <w:tab w:val="right" w:leader="dot" w:pos="9350"/>
            </w:tabs>
            <w:rPr>
              <w:rFonts w:eastAsiaTheme="minorEastAsia"/>
              <w:noProof/>
            </w:rPr>
          </w:pPr>
          <w:hyperlink w:anchor="_Toc471468488" w:history="1">
            <w:r w:rsidR="00B574DF" w:rsidRPr="005C0658">
              <w:rPr>
                <w:rStyle w:val="Hyperlink"/>
                <w:rFonts w:ascii="Times New Roman" w:hAnsi="Times New Roman" w:cs="Times New Roman"/>
                <w:noProof/>
              </w:rPr>
              <w:t>VII.</w:t>
            </w:r>
            <w:r w:rsidR="00B574DF">
              <w:rPr>
                <w:rFonts w:eastAsiaTheme="minorEastAsia"/>
                <w:noProof/>
              </w:rPr>
              <w:tab/>
            </w:r>
            <w:r w:rsidR="00B574DF" w:rsidRPr="005C0658">
              <w:rPr>
                <w:rStyle w:val="Hyperlink"/>
                <w:rFonts w:ascii="Times New Roman" w:hAnsi="Times New Roman" w:cs="Times New Roman"/>
                <w:noProof/>
              </w:rPr>
              <w:t>Implementing the protection against torture</w:t>
            </w:r>
            <w:r w:rsidR="00B574DF">
              <w:rPr>
                <w:noProof/>
                <w:webHidden/>
              </w:rPr>
              <w:tab/>
            </w:r>
            <w:r w:rsidR="00B574DF">
              <w:rPr>
                <w:noProof/>
                <w:webHidden/>
              </w:rPr>
              <w:fldChar w:fldCharType="begin"/>
            </w:r>
            <w:r w:rsidR="00B574DF">
              <w:rPr>
                <w:noProof/>
                <w:webHidden/>
              </w:rPr>
              <w:instrText xml:space="preserve"> PAGEREF _Toc471468488 \h </w:instrText>
            </w:r>
            <w:r w:rsidR="00B574DF">
              <w:rPr>
                <w:noProof/>
                <w:webHidden/>
              </w:rPr>
            </w:r>
            <w:r w:rsidR="00B574DF">
              <w:rPr>
                <w:noProof/>
                <w:webHidden/>
              </w:rPr>
              <w:fldChar w:fldCharType="separate"/>
            </w:r>
            <w:r w:rsidR="002010EE">
              <w:rPr>
                <w:noProof/>
                <w:webHidden/>
              </w:rPr>
              <w:t>45</w:t>
            </w:r>
            <w:r w:rsidR="00B574DF">
              <w:rPr>
                <w:noProof/>
                <w:webHidden/>
              </w:rPr>
              <w:fldChar w:fldCharType="end"/>
            </w:r>
          </w:hyperlink>
        </w:p>
        <w:p w14:paraId="717BC265" w14:textId="77777777" w:rsidR="00B574DF" w:rsidRDefault="00D411F2" w:rsidP="001A3CF6">
          <w:pPr>
            <w:pStyle w:val="TOC2"/>
            <w:rPr>
              <w:rFonts w:eastAsiaTheme="minorEastAsia"/>
              <w:noProof/>
            </w:rPr>
          </w:pPr>
          <w:hyperlink w:anchor="_Toc471468489" w:history="1">
            <w:r w:rsidR="00B574DF" w:rsidRPr="005C0658">
              <w:rPr>
                <w:rStyle w:val="Hyperlink"/>
                <w:rFonts w:ascii="Times New Roman" w:hAnsi="Times New Roman" w:cs="Times New Roman"/>
                <w:noProof/>
              </w:rPr>
              <w:t>A.</w:t>
            </w:r>
            <w:r w:rsidR="00B574DF">
              <w:rPr>
                <w:rFonts w:eastAsiaTheme="minorEastAsia"/>
                <w:noProof/>
              </w:rPr>
              <w:tab/>
            </w:r>
            <w:r w:rsidR="00B574DF" w:rsidRPr="005C0658">
              <w:rPr>
                <w:rStyle w:val="Hyperlink"/>
                <w:rFonts w:ascii="Times New Roman" w:hAnsi="Times New Roman" w:cs="Times New Roman"/>
                <w:noProof/>
              </w:rPr>
              <w:t>Enforcement obligations</w:t>
            </w:r>
            <w:r w:rsidR="00B574DF">
              <w:rPr>
                <w:noProof/>
                <w:webHidden/>
              </w:rPr>
              <w:tab/>
            </w:r>
            <w:r w:rsidR="00B574DF">
              <w:rPr>
                <w:noProof/>
                <w:webHidden/>
              </w:rPr>
              <w:fldChar w:fldCharType="begin"/>
            </w:r>
            <w:r w:rsidR="00B574DF">
              <w:rPr>
                <w:noProof/>
                <w:webHidden/>
              </w:rPr>
              <w:instrText xml:space="preserve"> PAGEREF _Toc471468489 \h </w:instrText>
            </w:r>
            <w:r w:rsidR="00B574DF">
              <w:rPr>
                <w:noProof/>
                <w:webHidden/>
              </w:rPr>
            </w:r>
            <w:r w:rsidR="00B574DF">
              <w:rPr>
                <w:noProof/>
                <w:webHidden/>
              </w:rPr>
              <w:fldChar w:fldCharType="separate"/>
            </w:r>
            <w:r w:rsidR="002010EE">
              <w:rPr>
                <w:noProof/>
                <w:webHidden/>
              </w:rPr>
              <w:t>45</w:t>
            </w:r>
            <w:r w:rsidR="00B574DF">
              <w:rPr>
                <w:noProof/>
                <w:webHidden/>
              </w:rPr>
              <w:fldChar w:fldCharType="end"/>
            </w:r>
          </w:hyperlink>
        </w:p>
        <w:p w14:paraId="33DD7F00" w14:textId="77777777" w:rsidR="00B574DF" w:rsidRDefault="00D411F2" w:rsidP="001A3CF6">
          <w:pPr>
            <w:pStyle w:val="TOC2"/>
            <w:rPr>
              <w:rFonts w:eastAsiaTheme="minorEastAsia"/>
              <w:noProof/>
            </w:rPr>
          </w:pPr>
          <w:hyperlink w:anchor="_Toc471468490" w:history="1">
            <w:r w:rsidR="00B574DF" w:rsidRPr="005C0658">
              <w:rPr>
                <w:rStyle w:val="Hyperlink"/>
                <w:rFonts w:ascii="Times New Roman" w:hAnsi="Times New Roman" w:cs="Times New Roman"/>
                <w:noProof/>
              </w:rPr>
              <w:t>B.</w:t>
            </w:r>
            <w:r w:rsidR="00B574DF">
              <w:rPr>
                <w:rFonts w:eastAsiaTheme="minorEastAsia"/>
                <w:noProof/>
              </w:rPr>
              <w:tab/>
            </w:r>
            <w:r w:rsidR="00B574DF" w:rsidRPr="005C0658">
              <w:rPr>
                <w:rStyle w:val="Hyperlink"/>
                <w:rFonts w:ascii="Times New Roman" w:hAnsi="Times New Roman" w:cs="Times New Roman"/>
                <w:noProof/>
              </w:rPr>
              <w:t>Learning from earlier reform movements</w:t>
            </w:r>
            <w:r w:rsidR="00B574DF">
              <w:rPr>
                <w:noProof/>
                <w:webHidden/>
              </w:rPr>
              <w:tab/>
            </w:r>
            <w:r w:rsidR="00B574DF">
              <w:rPr>
                <w:noProof/>
                <w:webHidden/>
              </w:rPr>
              <w:fldChar w:fldCharType="begin"/>
            </w:r>
            <w:r w:rsidR="00B574DF">
              <w:rPr>
                <w:noProof/>
                <w:webHidden/>
              </w:rPr>
              <w:instrText xml:space="preserve"> PAGEREF _Toc471468490 \h </w:instrText>
            </w:r>
            <w:r w:rsidR="00B574DF">
              <w:rPr>
                <w:noProof/>
                <w:webHidden/>
              </w:rPr>
            </w:r>
            <w:r w:rsidR="00B574DF">
              <w:rPr>
                <w:noProof/>
                <w:webHidden/>
              </w:rPr>
              <w:fldChar w:fldCharType="separate"/>
            </w:r>
            <w:r w:rsidR="002010EE">
              <w:rPr>
                <w:noProof/>
                <w:webHidden/>
              </w:rPr>
              <w:t>49</w:t>
            </w:r>
            <w:r w:rsidR="00B574DF">
              <w:rPr>
                <w:noProof/>
                <w:webHidden/>
              </w:rPr>
              <w:fldChar w:fldCharType="end"/>
            </w:r>
          </w:hyperlink>
        </w:p>
        <w:p w14:paraId="535DE277" w14:textId="77777777" w:rsidR="00B574DF" w:rsidRDefault="00D411F2">
          <w:pPr>
            <w:pStyle w:val="TOC1"/>
            <w:tabs>
              <w:tab w:val="right" w:leader="dot" w:pos="9350"/>
            </w:tabs>
            <w:rPr>
              <w:rFonts w:eastAsiaTheme="minorEastAsia"/>
              <w:noProof/>
            </w:rPr>
          </w:pPr>
          <w:hyperlink w:anchor="_Toc471468491" w:history="1">
            <w:r w:rsidR="00B574DF" w:rsidRPr="005C0658">
              <w:rPr>
                <w:rStyle w:val="Hyperlink"/>
                <w:rFonts w:ascii="Times New Roman" w:hAnsi="Times New Roman" w:cs="Times New Roman"/>
                <w:noProof/>
              </w:rPr>
              <w:t>Conclusion</w:t>
            </w:r>
            <w:r w:rsidR="00B574DF">
              <w:rPr>
                <w:noProof/>
                <w:webHidden/>
              </w:rPr>
              <w:tab/>
            </w:r>
            <w:r w:rsidR="00B574DF">
              <w:rPr>
                <w:noProof/>
                <w:webHidden/>
              </w:rPr>
              <w:fldChar w:fldCharType="begin"/>
            </w:r>
            <w:r w:rsidR="00B574DF">
              <w:rPr>
                <w:noProof/>
                <w:webHidden/>
              </w:rPr>
              <w:instrText xml:space="preserve"> PAGEREF _Toc471468491 \h </w:instrText>
            </w:r>
            <w:r w:rsidR="00B574DF">
              <w:rPr>
                <w:noProof/>
                <w:webHidden/>
              </w:rPr>
            </w:r>
            <w:r w:rsidR="00B574DF">
              <w:rPr>
                <w:noProof/>
                <w:webHidden/>
              </w:rPr>
              <w:fldChar w:fldCharType="separate"/>
            </w:r>
            <w:r w:rsidR="002010EE">
              <w:rPr>
                <w:noProof/>
                <w:webHidden/>
              </w:rPr>
              <w:t>50</w:t>
            </w:r>
            <w:r w:rsidR="00B574DF">
              <w:rPr>
                <w:noProof/>
                <w:webHidden/>
              </w:rPr>
              <w:fldChar w:fldCharType="end"/>
            </w:r>
          </w:hyperlink>
        </w:p>
        <w:p w14:paraId="1FE38A26" w14:textId="6442D58B" w:rsidR="00006F18" w:rsidRPr="00B57B6A" w:rsidRDefault="00006F18" w:rsidP="00B57B6A">
          <w:pPr>
            <w:spacing w:line="240" w:lineRule="auto"/>
            <w:rPr>
              <w:rFonts w:ascii="Times New Roman" w:hAnsi="Times New Roman" w:cs="Times New Roman"/>
              <w:sz w:val="24"/>
              <w:szCs w:val="24"/>
            </w:rPr>
          </w:pPr>
          <w:r w:rsidRPr="00B57B6A">
            <w:rPr>
              <w:rFonts w:ascii="Times New Roman" w:hAnsi="Times New Roman" w:cs="Times New Roman"/>
              <w:b/>
              <w:bCs/>
              <w:noProof/>
              <w:sz w:val="24"/>
              <w:szCs w:val="24"/>
            </w:rPr>
            <w:fldChar w:fldCharType="end"/>
          </w:r>
        </w:p>
      </w:sdtContent>
    </w:sdt>
    <w:p w14:paraId="59C8764C" w14:textId="77777777" w:rsidR="00006F18" w:rsidRPr="00B57B6A" w:rsidRDefault="00006F18" w:rsidP="00B57B6A">
      <w:pPr>
        <w:spacing w:line="240" w:lineRule="auto"/>
        <w:rPr>
          <w:rFonts w:ascii="Times New Roman" w:hAnsi="Times New Roman" w:cs="Times New Roman"/>
          <w:b/>
          <w:sz w:val="24"/>
          <w:szCs w:val="24"/>
        </w:rPr>
      </w:pPr>
    </w:p>
    <w:p w14:paraId="7A6F1D8B" w14:textId="77777777" w:rsidR="00006F18" w:rsidRPr="00B57B6A" w:rsidRDefault="00006F18" w:rsidP="00B57B6A">
      <w:pPr>
        <w:spacing w:line="240" w:lineRule="auto"/>
        <w:jc w:val="center"/>
        <w:rPr>
          <w:rFonts w:ascii="Times New Roman" w:hAnsi="Times New Roman" w:cs="Times New Roman"/>
          <w:b/>
          <w:sz w:val="24"/>
          <w:szCs w:val="24"/>
        </w:rPr>
      </w:pPr>
    </w:p>
    <w:p w14:paraId="279FD050" w14:textId="77777777" w:rsidR="0001700E" w:rsidRDefault="0001700E" w:rsidP="00B57B6A">
      <w:pPr>
        <w:pStyle w:val="Heading1"/>
        <w:spacing w:line="240" w:lineRule="auto"/>
        <w:rPr>
          <w:rFonts w:ascii="Times New Roman" w:hAnsi="Times New Roman" w:cs="Times New Roman"/>
          <w:sz w:val="24"/>
          <w:szCs w:val="24"/>
        </w:rPr>
      </w:pPr>
    </w:p>
    <w:p w14:paraId="68EA4BE0" w14:textId="52572322" w:rsidR="008A6220" w:rsidRPr="00B57B6A" w:rsidRDefault="008A6220" w:rsidP="00B57B6A">
      <w:pPr>
        <w:pStyle w:val="Heading1"/>
        <w:spacing w:line="240" w:lineRule="auto"/>
        <w:rPr>
          <w:rFonts w:ascii="Times New Roman" w:hAnsi="Times New Roman" w:cs="Times New Roman"/>
          <w:sz w:val="24"/>
          <w:szCs w:val="24"/>
        </w:rPr>
      </w:pPr>
      <w:bookmarkStart w:id="1" w:name="_Toc471468464"/>
      <w:r w:rsidRPr="00B57B6A">
        <w:rPr>
          <w:rFonts w:ascii="Times New Roman" w:hAnsi="Times New Roman" w:cs="Times New Roman"/>
          <w:sz w:val="24"/>
          <w:szCs w:val="24"/>
        </w:rPr>
        <w:lastRenderedPageBreak/>
        <w:t>Introduction</w:t>
      </w:r>
      <w:bookmarkEnd w:id="1"/>
      <w:r w:rsidR="00165416" w:rsidRPr="00B57B6A">
        <w:rPr>
          <w:rFonts w:ascii="Times New Roman" w:hAnsi="Times New Roman" w:cs="Times New Roman"/>
          <w:sz w:val="24"/>
          <w:szCs w:val="24"/>
        </w:rPr>
        <w:t xml:space="preserve"> </w:t>
      </w:r>
    </w:p>
    <w:p w14:paraId="20A6FDDB" w14:textId="425D37C1" w:rsidR="003912A9" w:rsidRPr="00B57B6A" w:rsidRDefault="003B5EFC"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In March 2015, the U</w:t>
      </w:r>
      <w:r w:rsidR="0007626A" w:rsidRPr="00B57B6A">
        <w:rPr>
          <w:rFonts w:ascii="Times New Roman" w:hAnsi="Times New Roman" w:cs="Times New Roman"/>
          <w:sz w:val="24"/>
          <w:szCs w:val="24"/>
        </w:rPr>
        <w:t xml:space="preserve">nited </w:t>
      </w:r>
      <w:r w:rsidRPr="00B57B6A">
        <w:rPr>
          <w:rFonts w:ascii="Times New Roman" w:hAnsi="Times New Roman" w:cs="Times New Roman"/>
          <w:sz w:val="24"/>
          <w:szCs w:val="24"/>
        </w:rPr>
        <w:t>N</w:t>
      </w:r>
      <w:r w:rsidR="0007626A" w:rsidRPr="00B57B6A">
        <w:rPr>
          <w:rFonts w:ascii="Times New Roman" w:hAnsi="Times New Roman" w:cs="Times New Roman"/>
          <w:sz w:val="24"/>
          <w:szCs w:val="24"/>
        </w:rPr>
        <w:t>ations</w:t>
      </w:r>
      <w:r w:rsidR="0064235F">
        <w:rPr>
          <w:rFonts w:ascii="Times New Roman" w:hAnsi="Times New Roman" w:cs="Times New Roman"/>
          <w:sz w:val="24"/>
          <w:szCs w:val="24"/>
        </w:rPr>
        <w:t xml:space="preserve"> (UN)</w:t>
      </w:r>
      <w:r w:rsidRPr="00B57B6A">
        <w:rPr>
          <w:rFonts w:ascii="Times New Roman" w:hAnsi="Times New Roman" w:cs="Times New Roman"/>
          <w:sz w:val="24"/>
          <w:szCs w:val="24"/>
        </w:rPr>
        <w:t xml:space="preserve"> </w:t>
      </w:r>
      <w:r w:rsidR="00A03F90" w:rsidRPr="00B57B6A">
        <w:rPr>
          <w:rFonts w:ascii="Times New Roman" w:hAnsi="Times New Roman" w:cs="Times New Roman"/>
          <w:sz w:val="24"/>
          <w:szCs w:val="24"/>
        </w:rPr>
        <w:t>Special Rapporteur on Torture Juan</w:t>
      </w:r>
      <w:r w:rsidR="0007626A" w:rsidRPr="00B57B6A">
        <w:rPr>
          <w:rFonts w:ascii="Times New Roman" w:hAnsi="Times New Roman" w:cs="Times New Roman"/>
          <w:sz w:val="24"/>
          <w:szCs w:val="24"/>
        </w:rPr>
        <w:t xml:space="preserve"> E.</w:t>
      </w:r>
      <w:r w:rsidR="00A03F90" w:rsidRPr="00B57B6A">
        <w:rPr>
          <w:rFonts w:ascii="Times New Roman" w:hAnsi="Times New Roman" w:cs="Times New Roman"/>
          <w:sz w:val="24"/>
          <w:szCs w:val="24"/>
        </w:rPr>
        <w:t xml:space="preserve"> M</w:t>
      </w:r>
      <w:r w:rsidR="00C92F88" w:rsidRPr="00B57B6A">
        <w:rPr>
          <w:rFonts w:ascii="Times New Roman" w:hAnsi="Times New Roman" w:cs="Times New Roman"/>
          <w:sz w:val="24"/>
          <w:szCs w:val="24"/>
        </w:rPr>
        <w:t>é</w:t>
      </w:r>
      <w:r w:rsidR="00A03F90" w:rsidRPr="00B57B6A">
        <w:rPr>
          <w:rFonts w:ascii="Times New Roman" w:hAnsi="Times New Roman" w:cs="Times New Roman"/>
          <w:sz w:val="24"/>
          <w:szCs w:val="24"/>
        </w:rPr>
        <w:t>ndez</w:t>
      </w:r>
      <w:r w:rsidR="0064235F">
        <w:rPr>
          <w:rFonts w:ascii="Times New Roman" w:hAnsi="Times New Roman" w:cs="Times New Roman"/>
          <w:sz w:val="24"/>
          <w:szCs w:val="24"/>
        </w:rPr>
        <w:t xml:space="preserve"> </w:t>
      </w:r>
      <w:r w:rsidR="0064235F" w:rsidRPr="00B57B6A">
        <w:rPr>
          <w:rFonts w:ascii="Times New Roman" w:hAnsi="Times New Roman" w:cs="Times New Roman"/>
          <w:sz w:val="24"/>
          <w:szCs w:val="24"/>
        </w:rPr>
        <w:t xml:space="preserve">presented his thematic report on “torture and ill-treatment of children deprived of their liberty” to the </w:t>
      </w:r>
      <w:r w:rsidR="0064235F">
        <w:rPr>
          <w:rFonts w:ascii="Times New Roman" w:hAnsi="Times New Roman" w:cs="Times New Roman"/>
          <w:sz w:val="24"/>
          <w:szCs w:val="24"/>
        </w:rPr>
        <w:t xml:space="preserve">UN </w:t>
      </w:r>
      <w:r w:rsidR="0064235F" w:rsidRPr="00B57B6A">
        <w:rPr>
          <w:rFonts w:ascii="Times New Roman" w:hAnsi="Times New Roman" w:cs="Times New Roman"/>
          <w:sz w:val="24"/>
          <w:szCs w:val="24"/>
        </w:rPr>
        <w:t>Human Rights Council</w:t>
      </w:r>
      <w:bookmarkStart w:id="2" w:name="_Ref465953948"/>
      <w:r w:rsidR="0007626A" w:rsidRPr="00B57B6A">
        <w:rPr>
          <w:rFonts w:ascii="Times New Roman" w:hAnsi="Times New Roman" w:cs="Times New Roman"/>
          <w:sz w:val="24"/>
          <w:szCs w:val="24"/>
        </w:rPr>
        <w:t>.</w:t>
      </w:r>
      <w:bookmarkStart w:id="3" w:name="_Ref471731064"/>
      <w:r w:rsidRPr="00B57B6A">
        <w:rPr>
          <w:rStyle w:val="FootnoteReference"/>
          <w:rFonts w:ascii="Times New Roman" w:hAnsi="Times New Roman" w:cs="Times New Roman"/>
          <w:sz w:val="24"/>
          <w:szCs w:val="24"/>
        </w:rPr>
        <w:footnoteReference w:id="2"/>
      </w:r>
      <w:bookmarkEnd w:id="2"/>
      <w:bookmarkEnd w:id="3"/>
      <w:r w:rsidRPr="00B57B6A">
        <w:rPr>
          <w:rFonts w:ascii="Times New Roman" w:hAnsi="Times New Roman" w:cs="Times New Roman"/>
          <w:sz w:val="24"/>
          <w:szCs w:val="24"/>
        </w:rPr>
        <w:t xml:space="preserve"> </w:t>
      </w:r>
      <w:r w:rsidR="00C92F88" w:rsidRPr="00B57B6A">
        <w:rPr>
          <w:rFonts w:ascii="Times New Roman" w:hAnsi="Times New Roman" w:cs="Times New Roman"/>
          <w:sz w:val="24"/>
          <w:szCs w:val="24"/>
        </w:rPr>
        <w:t xml:space="preserve">The </w:t>
      </w:r>
      <w:r w:rsidR="007A5B7A" w:rsidRPr="00B57B6A">
        <w:rPr>
          <w:rFonts w:ascii="Times New Roman" w:hAnsi="Times New Roman" w:cs="Times New Roman"/>
          <w:sz w:val="24"/>
          <w:szCs w:val="24"/>
        </w:rPr>
        <w:t>Méndez</w:t>
      </w:r>
      <w:r w:rsidR="001F2E36" w:rsidRPr="00B57B6A">
        <w:rPr>
          <w:rFonts w:ascii="Times New Roman" w:hAnsi="Times New Roman" w:cs="Times New Roman"/>
          <w:sz w:val="24"/>
          <w:szCs w:val="24"/>
        </w:rPr>
        <w:t xml:space="preserve"> Re</w:t>
      </w:r>
      <w:r w:rsidR="00C92F88" w:rsidRPr="00B57B6A">
        <w:rPr>
          <w:rFonts w:ascii="Times New Roman" w:hAnsi="Times New Roman" w:cs="Times New Roman"/>
          <w:sz w:val="24"/>
          <w:szCs w:val="24"/>
        </w:rPr>
        <w:t>port</w:t>
      </w:r>
      <w:r w:rsidR="00AA3FB0" w:rsidRPr="00B57B6A">
        <w:rPr>
          <w:rFonts w:ascii="Times New Roman" w:hAnsi="Times New Roman" w:cs="Times New Roman"/>
          <w:sz w:val="24"/>
          <w:szCs w:val="24"/>
        </w:rPr>
        <w:t xml:space="preserve"> demonstrates how </w:t>
      </w:r>
      <w:r w:rsidR="00A03F90" w:rsidRPr="00B57B6A">
        <w:rPr>
          <w:rFonts w:ascii="Times New Roman" w:hAnsi="Times New Roman" w:cs="Times New Roman"/>
          <w:sz w:val="24"/>
          <w:szCs w:val="24"/>
        </w:rPr>
        <w:t>t</w:t>
      </w:r>
      <w:r w:rsidR="00165416" w:rsidRPr="00B57B6A">
        <w:rPr>
          <w:rFonts w:ascii="Times New Roman" w:hAnsi="Times New Roman" w:cs="Times New Roman"/>
          <w:sz w:val="24"/>
          <w:szCs w:val="24"/>
        </w:rPr>
        <w:t>he</w:t>
      </w:r>
      <w:r w:rsidR="0078250E" w:rsidRPr="00B57B6A">
        <w:rPr>
          <w:rFonts w:ascii="Times New Roman" w:hAnsi="Times New Roman" w:cs="Times New Roman"/>
          <w:sz w:val="24"/>
          <w:szCs w:val="24"/>
        </w:rPr>
        <w:t xml:space="preserve"> </w:t>
      </w:r>
      <w:r w:rsidR="00190872" w:rsidRPr="00B57B6A">
        <w:rPr>
          <w:rFonts w:ascii="Times New Roman" w:hAnsi="Times New Roman" w:cs="Times New Roman"/>
          <w:sz w:val="24"/>
          <w:szCs w:val="24"/>
        </w:rPr>
        <w:t xml:space="preserve">prohibition of </w:t>
      </w:r>
      <w:r w:rsidR="0078250E" w:rsidRPr="00B57B6A">
        <w:rPr>
          <w:rFonts w:ascii="Times New Roman" w:hAnsi="Times New Roman" w:cs="Times New Roman"/>
          <w:sz w:val="24"/>
          <w:szCs w:val="24"/>
        </w:rPr>
        <w:t>torture</w:t>
      </w:r>
      <w:r w:rsidR="00A71243" w:rsidRPr="00B57B6A">
        <w:rPr>
          <w:rFonts w:ascii="Times New Roman" w:hAnsi="Times New Roman" w:cs="Times New Roman"/>
          <w:sz w:val="24"/>
          <w:szCs w:val="24"/>
        </w:rPr>
        <w:t xml:space="preserve"> </w:t>
      </w:r>
      <w:r w:rsidR="00190872" w:rsidRPr="00B57B6A">
        <w:rPr>
          <w:rFonts w:ascii="Times New Roman" w:hAnsi="Times New Roman" w:cs="Times New Roman"/>
          <w:sz w:val="24"/>
          <w:szCs w:val="24"/>
        </w:rPr>
        <w:t xml:space="preserve">under international law </w:t>
      </w:r>
      <w:r w:rsidR="007F67C3" w:rsidRPr="00B57B6A">
        <w:rPr>
          <w:rFonts w:ascii="Times New Roman" w:hAnsi="Times New Roman" w:cs="Times New Roman"/>
          <w:sz w:val="24"/>
          <w:szCs w:val="24"/>
        </w:rPr>
        <w:t>protects</w:t>
      </w:r>
      <w:r w:rsidR="00A03F90" w:rsidRPr="00B57B6A">
        <w:rPr>
          <w:rFonts w:ascii="Times New Roman" w:hAnsi="Times New Roman" w:cs="Times New Roman"/>
          <w:sz w:val="24"/>
          <w:szCs w:val="24"/>
        </w:rPr>
        <w:t xml:space="preserve"> children from</w:t>
      </w:r>
      <w:r w:rsidR="00813B49" w:rsidRPr="00B57B6A">
        <w:rPr>
          <w:rFonts w:ascii="Times New Roman" w:hAnsi="Times New Roman" w:cs="Times New Roman"/>
          <w:sz w:val="24"/>
          <w:szCs w:val="24"/>
        </w:rPr>
        <w:t xml:space="preserve"> abuse and improper placement in any form of public or private</w:t>
      </w:r>
      <w:r w:rsidR="00A03F90" w:rsidRPr="00B57B6A">
        <w:rPr>
          <w:rFonts w:ascii="Times New Roman" w:hAnsi="Times New Roman" w:cs="Times New Roman"/>
          <w:sz w:val="24"/>
          <w:szCs w:val="24"/>
        </w:rPr>
        <w:t xml:space="preserve"> instit</w:t>
      </w:r>
      <w:r w:rsidR="00813B49" w:rsidRPr="00B57B6A">
        <w:rPr>
          <w:rFonts w:ascii="Times New Roman" w:hAnsi="Times New Roman" w:cs="Times New Roman"/>
          <w:sz w:val="24"/>
          <w:szCs w:val="24"/>
        </w:rPr>
        <w:t>ution</w:t>
      </w:r>
      <w:r w:rsidR="005D0C17" w:rsidRPr="00B57B6A">
        <w:rPr>
          <w:rFonts w:ascii="Times New Roman" w:hAnsi="Times New Roman" w:cs="Times New Roman"/>
          <w:sz w:val="24"/>
          <w:szCs w:val="24"/>
        </w:rPr>
        <w:t>.</w:t>
      </w:r>
      <w:bookmarkStart w:id="4" w:name="_Ref334449613"/>
      <w:r w:rsidR="0082225B" w:rsidRPr="00B57B6A">
        <w:rPr>
          <w:rStyle w:val="FootnoteReference"/>
          <w:rFonts w:ascii="Times New Roman" w:hAnsi="Times New Roman" w:cs="Times New Roman"/>
          <w:sz w:val="24"/>
          <w:szCs w:val="24"/>
        </w:rPr>
        <w:footnoteReference w:id="3"/>
      </w:r>
      <w:bookmarkEnd w:id="4"/>
      <w:r w:rsidR="0066171B" w:rsidRPr="00B57B6A">
        <w:rPr>
          <w:rFonts w:ascii="Times New Roman" w:hAnsi="Times New Roman" w:cs="Times New Roman"/>
          <w:sz w:val="24"/>
          <w:szCs w:val="24"/>
        </w:rPr>
        <w:t xml:space="preserve"> </w:t>
      </w:r>
      <w:r w:rsidR="007D00C7" w:rsidRPr="00B57B6A">
        <w:rPr>
          <w:rFonts w:ascii="Times New Roman" w:hAnsi="Times New Roman" w:cs="Times New Roman"/>
          <w:sz w:val="24"/>
          <w:szCs w:val="24"/>
        </w:rPr>
        <w:t xml:space="preserve">The </w:t>
      </w:r>
      <w:r w:rsidR="007A5B7A" w:rsidRPr="00B57B6A">
        <w:rPr>
          <w:rFonts w:ascii="Times New Roman" w:hAnsi="Times New Roman" w:cs="Times New Roman"/>
          <w:sz w:val="24"/>
          <w:szCs w:val="24"/>
        </w:rPr>
        <w:t xml:space="preserve">Méndez </w:t>
      </w:r>
      <w:r w:rsidR="007D00C7" w:rsidRPr="00B57B6A">
        <w:rPr>
          <w:rFonts w:ascii="Times New Roman" w:hAnsi="Times New Roman" w:cs="Times New Roman"/>
          <w:sz w:val="24"/>
          <w:szCs w:val="24"/>
        </w:rPr>
        <w:t>Report notes the “heightened risk” of violence and abuse</w:t>
      </w:r>
      <w:r w:rsidR="007D00C7" w:rsidRPr="00B57B6A">
        <w:rPr>
          <w:rStyle w:val="FootnoteReference"/>
          <w:rFonts w:ascii="Times New Roman" w:hAnsi="Times New Roman" w:cs="Times New Roman"/>
          <w:sz w:val="24"/>
          <w:szCs w:val="24"/>
        </w:rPr>
        <w:footnoteReference w:id="4"/>
      </w:r>
      <w:r w:rsidR="007D00C7" w:rsidRPr="00B57B6A">
        <w:rPr>
          <w:rFonts w:ascii="Times New Roman" w:hAnsi="Times New Roman" w:cs="Times New Roman"/>
          <w:sz w:val="24"/>
          <w:szCs w:val="24"/>
        </w:rPr>
        <w:t xml:space="preserve"> as well as the dangers to mental health and development inherent in placing children in institutions.</w:t>
      </w:r>
      <w:r w:rsidR="007D00C7" w:rsidRPr="00B57B6A">
        <w:rPr>
          <w:rStyle w:val="FootnoteReference"/>
          <w:rFonts w:ascii="Times New Roman" w:hAnsi="Times New Roman" w:cs="Times New Roman"/>
          <w:sz w:val="24"/>
          <w:szCs w:val="24"/>
        </w:rPr>
        <w:footnoteReference w:id="5"/>
      </w:r>
      <w:r w:rsidR="007554E9" w:rsidRPr="00B57B6A">
        <w:rPr>
          <w:rFonts w:ascii="Times New Roman" w:hAnsi="Times New Roman" w:cs="Times New Roman"/>
          <w:sz w:val="24"/>
          <w:szCs w:val="24"/>
        </w:rPr>
        <w:t xml:space="preserve"> </w:t>
      </w:r>
      <w:r w:rsidR="001F2E36" w:rsidRPr="00B57B6A">
        <w:rPr>
          <w:rFonts w:ascii="Times New Roman" w:hAnsi="Times New Roman" w:cs="Times New Roman"/>
          <w:sz w:val="24"/>
          <w:szCs w:val="24"/>
        </w:rPr>
        <w:t xml:space="preserve">The Special Rapporteur on Torture </w:t>
      </w:r>
      <w:r w:rsidR="007D00C7" w:rsidRPr="00B57B6A">
        <w:rPr>
          <w:rFonts w:ascii="Times New Roman" w:hAnsi="Times New Roman" w:cs="Times New Roman"/>
          <w:sz w:val="24"/>
          <w:szCs w:val="24"/>
        </w:rPr>
        <w:t>calls on governments to recognize that “[t]he unique vulnerability of children deprived of their liberty requires higher standards and broader safeguards for the prevention of torture and ill-treatment.” While much of the</w:t>
      </w:r>
      <w:r w:rsidR="007A5B7A" w:rsidRPr="00B57B6A">
        <w:rPr>
          <w:rFonts w:ascii="Times New Roman" w:hAnsi="Times New Roman" w:cs="Times New Roman"/>
          <w:sz w:val="24"/>
          <w:szCs w:val="24"/>
        </w:rPr>
        <w:t xml:space="preserve"> Méndez </w:t>
      </w:r>
      <w:r w:rsidR="001F2E36" w:rsidRPr="00B57B6A">
        <w:rPr>
          <w:rFonts w:ascii="Times New Roman" w:hAnsi="Times New Roman" w:cs="Times New Roman"/>
          <w:sz w:val="24"/>
          <w:szCs w:val="24"/>
        </w:rPr>
        <w:t>R</w:t>
      </w:r>
      <w:r w:rsidR="007D00C7" w:rsidRPr="00B57B6A">
        <w:rPr>
          <w:rFonts w:ascii="Times New Roman" w:hAnsi="Times New Roman" w:cs="Times New Roman"/>
          <w:sz w:val="24"/>
          <w:szCs w:val="24"/>
        </w:rPr>
        <w:t>eport focuses on the need to protect rights within institutions, the report also calls on all States “[t]o ensure that deprivation of liberty is used only as a measure of last resort…”</w:t>
      </w:r>
      <w:r w:rsidR="007D00C7" w:rsidRPr="00B57B6A">
        <w:rPr>
          <w:rStyle w:val="FootnoteReference"/>
          <w:rFonts w:ascii="Times New Roman" w:hAnsi="Times New Roman" w:cs="Times New Roman"/>
          <w:sz w:val="24"/>
          <w:szCs w:val="24"/>
        </w:rPr>
        <w:footnoteReference w:id="6"/>
      </w:r>
      <w:r w:rsidR="00B90EC8" w:rsidRPr="00B57B6A">
        <w:rPr>
          <w:rFonts w:ascii="Times New Roman" w:hAnsi="Times New Roman" w:cs="Times New Roman"/>
          <w:sz w:val="24"/>
          <w:szCs w:val="24"/>
        </w:rPr>
        <w:t xml:space="preserve"> </w:t>
      </w:r>
      <w:r w:rsidR="007D00C7" w:rsidRPr="00B57B6A">
        <w:rPr>
          <w:rFonts w:ascii="Times New Roman" w:hAnsi="Times New Roman" w:cs="Times New Roman"/>
          <w:sz w:val="24"/>
          <w:szCs w:val="24"/>
        </w:rPr>
        <w:t xml:space="preserve"> </w:t>
      </w:r>
      <w:r w:rsidR="001F2E36" w:rsidRPr="00B57B6A">
        <w:rPr>
          <w:rFonts w:ascii="Times New Roman" w:hAnsi="Times New Roman" w:cs="Times New Roman"/>
          <w:sz w:val="24"/>
          <w:szCs w:val="24"/>
        </w:rPr>
        <w:t xml:space="preserve">The </w:t>
      </w:r>
      <w:r w:rsidR="007A5B7A" w:rsidRPr="00B57B6A">
        <w:rPr>
          <w:rFonts w:ascii="Times New Roman" w:hAnsi="Times New Roman" w:cs="Times New Roman"/>
          <w:sz w:val="24"/>
          <w:szCs w:val="24"/>
        </w:rPr>
        <w:t>Méndez</w:t>
      </w:r>
      <w:r w:rsidR="001F2E36" w:rsidRPr="00B57B6A">
        <w:rPr>
          <w:rFonts w:ascii="Times New Roman" w:hAnsi="Times New Roman" w:cs="Times New Roman"/>
          <w:sz w:val="24"/>
          <w:szCs w:val="24"/>
        </w:rPr>
        <w:t xml:space="preserve"> Report goes on to recognize that, even when detention is used as a last resort, it must be limited</w:t>
      </w:r>
      <w:r w:rsidR="0064235F">
        <w:rPr>
          <w:rFonts w:ascii="Times New Roman" w:hAnsi="Times New Roman" w:cs="Times New Roman"/>
          <w:sz w:val="24"/>
          <w:szCs w:val="24"/>
        </w:rPr>
        <w:t xml:space="preserve"> to</w:t>
      </w:r>
      <w:r w:rsidR="005645D5" w:rsidRPr="00B57B6A">
        <w:rPr>
          <w:rFonts w:ascii="Times New Roman" w:hAnsi="Times New Roman" w:cs="Times New Roman"/>
          <w:sz w:val="24"/>
          <w:szCs w:val="24"/>
        </w:rPr>
        <w:t>:</w:t>
      </w:r>
    </w:p>
    <w:p w14:paraId="182F2415" w14:textId="1933EA2A" w:rsidR="001F2E36" w:rsidRPr="000263E2" w:rsidRDefault="007D00C7" w:rsidP="00B57B6A">
      <w:pPr>
        <w:spacing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 xml:space="preserve">the </w:t>
      </w:r>
      <w:r w:rsidRPr="00B57B6A">
        <w:rPr>
          <w:rFonts w:ascii="Times New Roman" w:hAnsi="Times New Roman" w:cs="Times New Roman"/>
          <w:b/>
          <w:i/>
          <w:sz w:val="24"/>
          <w:szCs w:val="24"/>
        </w:rPr>
        <w:t>shortest possible period of time</w:t>
      </w:r>
      <w:r w:rsidR="0064235F">
        <w:rPr>
          <w:rFonts w:ascii="Times New Roman" w:hAnsi="Times New Roman" w:cs="Times New Roman"/>
          <w:b/>
          <w:sz w:val="24"/>
          <w:szCs w:val="24"/>
        </w:rPr>
        <w:t>,</w:t>
      </w:r>
      <w:r w:rsidRPr="00B57B6A">
        <w:rPr>
          <w:rFonts w:ascii="Times New Roman" w:hAnsi="Times New Roman" w:cs="Times New Roman"/>
          <w:sz w:val="24"/>
          <w:szCs w:val="24"/>
        </w:rPr>
        <w:t xml:space="preserve"> only if it is in the best interest</w:t>
      </w:r>
      <w:r w:rsidR="0064235F">
        <w:rPr>
          <w:rFonts w:ascii="Times New Roman" w:hAnsi="Times New Roman" w:cs="Times New Roman"/>
          <w:sz w:val="24"/>
          <w:szCs w:val="24"/>
        </w:rPr>
        <w:t>s</w:t>
      </w:r>
      <w:r w:rsidRPr="00B57B6A">
        <w:rPr>
          <w:rFonts w:ascii="Times New Roman" w:hAnsi="Times New Roman" w:cs="Times New Roman"/>
          <w:sz w:val="24"/>
          <w:szCs w:val="24"/>
        </w:rPr>
        <w:t xml:space="preserve"> of the child, and limited to exceptional cases. Failure to recognize or apply the</w:t>
      </w:r>
      <w:r w:rsidR="0064235F">
        <w:rPr>
          <w:rFonts w:ascii="Times New Roman" w:hAnsi="Times New Roman" w:cs="Times New Roman"/>
          <w:sz w:val="24"/>
          <w:szCs w:val="24"/>
        </w:rPr>
        <w:t>se</w:t>
      </w:r>
      <w:r w:rsidRPr="00B57B6A">
        <w:rPr>
          <w:rFonts w:ascii="Times New Roman" w:hAnsi="Times New Roman" w:cs="Times New Roman"/>
          <w:sz w:val="24"/>
          <w:szCs w:val="24"/>
        </w:rPr>
        <w:t xml:space="preserve"> safeguards increases the risk of children being subject to torture or </w:t>
      </w:r>
      <w:r w:rsidR="0064235F">
        <w:rPr>
          <w:rFonts w:ascii="Times New Roman" w:hAnsi="Times New Roman" w:cs="Times New Roman"/>
          <w:sz w:val="24"/>
          <w:szCs w:val="24"/>
        </w:rPr>
        <w:t xml:space="preserve">other </w:t>
      </w:r>
      <w:r w:rsidRPr="00B57B6A">
        <w:rPr>
          <w:rFonts w:ascii="Times New Roman" w:hAnsi="Times New Roman" w:cs="Times New Roman"/>
          <w:sz w:val="24"/>
          <w:szCs w:val="24"/>
        </w:rPr>
        <w:t xml:space="preserve">ill-treatment, and implicates State responsibility. Therefore, </w:t>
      </w:r>
      <w:r w:rsidRPr="000263E2">
        <w:rPr>
          <w:rFonts w:ascii="Times New Roman" w:hAnsi="Times New Roman" w:cs="Times New Roman"/>
          <w:sz w:val="24"/>
          <w:szCs w:val="24"/>
        </w:rPr>
        <w:t xml:space="preserve">States should, to the greatest extent possible, and always using the </w:t>
      </w:r>
      <w:r w:rsidRPr="009D7F06">
        <w:rPr>
          <w:rFonts w:ascii="Times New Roman" w:hAnsi="Times New Roman" w:cs="Times New Roman"/>
          <w:b/>
          <w:i/>
          <w:sz w:val="24"/>
          <w:szCs w:val="24"/>
        </w:rPr>
        <w:t>least restrictive means necessary</w:t>
      </w:r>
      <w:r w:rsidRPr="00D76B31">
        <w:rPr>
          <w:rFonts w:ascii="Times New Roman" w:hAnsi="Times New Roman" w:cs="Times New Roman"/>
          <w:sz w:val="24"/>
          <w:szCs w:val="24"/>
        </w:rPr>
        <w:t xml:space="preserve">, adopt alternatives to detention that fulfill </w:t>
      </w:r>
      <w:r w:rsidR="003912A9" w:rsidRPr="00B474EF">
        <w:rPr>
          <w:rFonts w:ascii="Times New Roman" w:hAnsi="Times New Roman" w:cs="Times New Roman"/>
          <w:sz w:val="24"/>
          <w:szCs w:val="24"/>
        </w:rPr>
        <w:t xml:space="preserve">the </w:t>
      </w:r>
      <w:r w:rsidR="003912A9" w:rsidRPr="002B3F27">
        <w:rPr>
          <w:rFonts w:ascii="Times New Roman" w:hAnsi="Times New Roman" w:cs="Times New Roman"/>
          <w:b/>
          <w:i/>
          <w:sz w:val="24"/>
          <w:szCs w:val="24"/>
        </w:rPr>
        <w:t xml:space="preserve">best interest </w:t>
      </w:r>
      <w:r w:rsidR="003912A9" w:rsidRPr="0071517F">
        <w:rPr>
          <w:rFonts w:ascii="Times New Roman" w:hAnsi="Times New Roman" w:cs="Times New Roman"/>
          <w:sz w:val="24"/>
          <w:szCs w:val="24"/>
        </w:rPr>
        <w:t>of the chi</w:t>
      </w:r>
      <w:r w:rsidR="003912A9" w:rsidRPr="00482FB3">
        <w:rPr>
          <w:rFonts w:ascii="Times New Roman" w:hAnsi="Times New Roman" w:cs="Times New Roman"/>
          <w:sz w:val="24"/>
          <w:szCs w:val="24"/>
        </w:rPr>
        <w:t>ld</w:t>
      </w:r>
      <w:r w:rsidR="0021534B" w:rsidRPr="006F37EF">
        <w:rPr>
          <w:rFonts w:ascii="Times New Roman" w:hAnsi="Times New Roman" w:cs="Times New Roman"/>
          <w:sz w:val="24"/>
          <w:szCs w:val="24"/>
        </w:rPr>
        <w:t xml:space="preserve">, </w:t>
      </w:r>
      <w:r w:rsidR="0021534B" w:rsidRPr="000263E2">
        <w:rPr>
          <w:rFonts w:ascii="Times New Roman" w:eastAsia="Arial Unicode MS" w:hAnsi="Times New Roman" w:cs="Times New Roman"/>
          <w:color w:val="000000"/>
          <w:sz w:val="24"/>
          <w:szCs w:val="24"/>
          <w:u w:color="000000"/>
        </w:rPr>
        <w:t>and the obligation to prevent torture or other ill-treatment of children, together with their rights to liberty and family life, through legislation, policies and practices that allow children to remain with family members or guardians in a non-custodial, community-based context</w:t>
      </w:r>
      <w:r w:rsidR="003912A9" w:rsidRPr="000263E2">
        <w:rPr>
          <w:rFonts w:ascii="Times New Roman" w:hAnsi="Times New Roman" w:cs="Times New Roman"/>
          <w:sz w:val="24"/>
          <w:szCs w:val="24"/>
        </w:rPr>
        <w:t>.</w:t>
      </w:r>
      <w:r w:rsidRPr="000263E2">
        <w:rPr>
          <w:rStyle w:val="FootnoteReference"/>
          <w:rFonts w:ascii="Times New Roman" w:hAnsi="Times New Roman" w:cs="Times New Roman"/>
          <w:sz w:val="24"/>
          <w:szCs w:val="24"/>
        </w:rPr>
        <w:footnoteReference w:id="7"/>
      </w:r>
      <w:r w:rsidR="003912A9" w:rsidRPr="000263E2">
        <w:rPr>
          <w:rFonts w:ascii="Times New Roman" w:hAnsi="Times New Roman" w:cs="Times New Roman"/>
          <w:sz w:val="24"/>
          <w:szCs w:val="24"/>
        </w:rPr>
        <w:t xml:space="preserve"> </w:t>
      </w:r>
    </w:p>
    <w:p w14:paraId="69A9CCCD" w14:textId="0250AC31" w:rsidR="005B5184" w:rsidRDefault="004F56FD" w:rsidP="005B5184">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Limiting institutionalization to a measure of “last resort” appears in a number of international instruments</w:t>
      </w:r>
      <w:bookmarkStart w:id="5" w:name="_Ref462739653"/>
      <w:r w:rsidRPr="00B57B6A">
        <w:rPr>
          <w:rStyle w:val="FootnoteReference"/>
          <w:rFonts w:ascii="Times New Roman" w:hAnsi="Times New Roman" w:cs="Times New Roman"/>
          <w:sz w:val="24"/>
          <w:szCs w:val="24"/>
        </w:rPr>
        <w:footnoteReference w:id="8"/>
      </w:r>
      <w:bookmarkEnd w:id="5"/>
      <w:r w:rsidR="00A81CE2" w:rsidRPr="00A81CE2">
        <w:rPr>
          <w:rFonts w:ascii="Times New Roman" w:hAnsi="Times New Roman" w:cs="Times New Roman"/>
          <w:sz w:val="24"/>
          <w:szCs w:val="24"/>
        </w:rPr>
        <w:t xml:space="preserve"> </w:t>
      </w:r>
      <w:r w:rsidR="00A81CE2">
        <w:rPr>
          <w:rFonts w:ascii="Times New Roman" w:hAnsi="Times New Roman" w:cs="Times New Roman"/>
          <w:sz w:val="24"/>
          <w:szCs w:val="24"/>
        </w:rPr>
        <w:t>– including</w:t>
      </w:r>
      <w:r w:rsidR="003A256A">
        <w:rPr>
          <w:rFonts w:ascii="Times New Roman" w:hAnsi="Times New Roman" w:cs="Times New Roman"/>
          <w:sz w:val="24"/>
          <w:szCs w:val="24"/>
        </w:rPr>
        <w:t xml:space="preserve"> </w:t>
      </w:r>
      <w:r w:rsidR="00A81CE2">
        <w:rPr>
          <w:rFonts w:ascii="Times New Roman" w:hAnsi="Times New Roman" w:cs="Times New Roman"/>
          <w:sz w:val="24"/>
          <w:szCs w:val="24"/>
        </w:rPr>
        <w:t>General Comment #9</w:t>
      </w:r>
      <w:bookmarkStart w:id="6" w:name="_Ref471218052"/>
      <w:r w:rsidR="003A256A">
        <w:rPr>
          <w:rFonts w:ascii="Times New Roman" w:hAnsi="Times New Roman" w:cs="Times New Roman"/>
          <w:sz w:val="24"/>
          <w:szCs w:val="24"/>
        </w:rPr>
        <w:t xml:space="preserve"> of the UN Committee on the Rights of the Child (concerning children with disabilities).</w:t>
      </w:r>
      <w:bookmarkStart w:id="7" w:name="_Ref471736308"/>
      <w:r w:rsidR="0041391C" w:rsidRPr="00B57B6A">
        <w:rPr>
          <w:rStyle w:val="FootnoteReference"/>
          <w:rFonts w:ascii="Times New Roman" w:hAnsi="Times New Roman" w:cs="Times New Roman"/>
          <w:sz w:val="24"/>
          <w:szCs w:val="24"/>
        </w:rPr>
        <w:footnoteReference w:id="9"/>
      </w:r>
      <w:bookmarkEnd w:id="6"/>
      <w:bookmarkEnd w:id="7"/>
      <w:r w:rsidR="0041391C">
        <w:rPr>
          <w:rFonts w:ascii="Times New Roman" w:hAnsi="Times New Roman" w:cs="Times New Roman"/>
          <w:sz w:val="24"/>
          <w:szCs w:val="24"/>
        </w:rPr>
        <w:t xml:space="preserve"> </w:t>
      </w:r>
      <w:r w:rsidR="003A256A">
        <w:rPr>
          <w:rFonts w:ascii="Times New Roman" w:hAnsi="Times New Roman" w:cs="Times New Roman"/>
          <w:sz w:val="24"/>
          <w:szCs w:val="24"/>
        </w:rPr>
        <w:t xml:space="preserve">But the </w:t>
      </w:r>
      <w:r w:rsidRPr="00B57B6A">
        <w:rPr>
          <w:rFonts w:ascii="Times New Roman" w:hAnsi="Times New Roman" w:cs="Times New Roman"/>
          <w:sz w:val="24"/>
          <w:szCs w:val="24"/>
        </w:rPr>
        <w:t xml:space="preserve">Méndez Report </w:t>
      </w:r>
      <w:r w:rsidR="003A256A">
        <w:rPr>
          <w:rFonts w:ascii="Times New Roman" w:hAnsi="Times New Roman" w:cs="Times New Roman"/>
          <w:sz w:val="24"/>
          <w:szCs w:val="24"/>
        </w:rPr>
        <w:t xml:space="preserve">adds </w:t>
      </w:r>
      <w:r w:rsidR="008D7A56">
        <w:rPr>
          <w:rFonts w:ascii="Times New Roman" w:hAnsi="Times New Roman" w:cs="Times New Roman"/>
          <w:sz w:val="24"/>
          <w:szCs w:val="24"/>
        </w:rPr>
        <w:t>that</w:t>
      </w:r>
      <w:r w:rsidR="003A256A">
        <w:rPr>
          <w:rFonts w:ascii="Times New Roman" w:hAnsi="Times New Roman" w:cs="Times New Roman"/>
          <w:sz w:val="24"/>
          <w:szCs w:val="24"/>
        </w:rPr>
        <w:t xml:space="preserve"> limitations on the time of detention</w:t>
      </w:r>
      <w:r w:rsidR="00B933E4">
        <w:rPr>
          <w:rFonts w:ascii="Times New Roman" w:hAnsi="Times New Roman" w:cs="Times New Roman"/>
          <w:sz w:val="24"/>
          <w:szCs w:val="24"/>
        </w:rPr>
        <w:t xml:space="preserve"> and </w:t>
      </w:r>
      <w:r w:rsidR="003A256A">
        <w:rPr>
          <w:rFonts w:ascii="Times New Roman" w:hAnsi="Times New Roman" w:cs="Times New Roman"/>
          <w:sz w:val="24"/>
          <w:szCs w:val="24"/>
        </w:rPr>
        <w:t xml:space="preserve">least restrictive means </w:t>
      </w:r>
      <w:r w:rsidR="008D7A56">
        <w:rPr>
          <w:rFonts w:ascii="Times New Roman" w:hAnsi="Times New Roman" w:cs="Times New Roman"/>
          <w:sz w:val="24"/>
          <w:szCs w:val="24"/>
        </w:rPr>
        <w:t xml:space="preserve">are </w:t>
      </w:r>
      <w:r w:rsidR="003A256A">
        <w:rPr>
          <w:rFonts w:ascii="Times New Roman" w:hAnsi="Times New Roman" w:cs="Times New Roman"/>
          <w:sz w:val="24"/>
          <w:szCs w:val="24"/>
        </w:rPr>
        <w:t>necessary</w:t>
      </w:r>
      <w:r w:rsidR="008D7A56">
        <w:rPr>
          <w:rFonts w:ascii="Times New Roman" w:hAnsi="Times New Roman" w:cs="Times New Roman"/>
          <w:sz w:val="24"/>
          <w:szCs w:val="24"/>
        </w:rPr>
        <w:t xml:space="preserve"> to prevent torture</w:t>
      </w:r>
      <w:r w:rsidR="003A256A">
        <w:rPr>
          <w:rFonts w:ascii="Times New Roman" w:hAnsi="Times New Roman" w:cs="Times New Roman"/>
          <w:sz w:val="24"/>
          <w:szCs w:val="24"/>
        </w:rPr>
        <w:t xml:space="preserve">. </w:t>
      </w:r>
      <w:r w:rsidR="005B5184">
        <w:rPr>
          <w:rFonts w:ascii="Times New Roman" w:hAnsi="Times New Roman" w:cs="Times New Roman"/>
          <w:sz w:val="24"/>
          <w:szCs w:val="24"/>
        </w:rPr>
        <w:t xml:space="preserve">For the millions of children who are placed in orphanages and other institutions around the world, these protections can be of life-saving importance. </w:t>
      </w:r>
      <w:r w:rsidR="005B5184" w:rsidRPr="00B57B6A">
        <w:rPr>
          <w:rFonts w:ascii="Times New Roman" w:hAnsi="Times New Roman" w:cs="Times New Roman"/>
          <w:sz w:val="24"/>
          <w:szCs w:val="24"/>
        </w:rPr>
        <w:t>Méndez</w:t>
      </w:r>
      <w:r w:rsidR="005B5184">
        <w:rPr>
          <w:rFonts w:ascii="Times New Roman" w:hAnsi="Times New Roman" w:cs="Times New Roman"/>
          <w:sz w:val="24"/>
          <w:szCs w:val="24"/>
        </w:rPr>
        <w:t>’</w:t>
      </w:r>
      <w:r w:rsidR="00856580">
        <w:rPr>
          <w:rFonts w:ascii="Times New Roman" w:hAnsi="Times New Roman" w:cs="Times New Roman"/>
          <w:sz w:val="24"/>
          <w:szCs w:val="24"/>
        </w:rPr>
        <w:t>s</w:t>
      </w:r>
      <w:r w:rsidR="005B5184">
        <w:rPr>
          <w:rFonts w:ascii="Times New Roman" w:hAnsi="Times New Roman" w:cs="Times New Roman"/>
          <w:sz w:val="24"/>
          <w:szCs w:val="24"/>
        </w:rPr>
        <w:t xml:space="preserve"> recommendations strengthen the protection of all children separated, or at-risk of separation, from their families as established under international </w:t>
      </w:r>
      <w:r w:rsidR="005B5184">
        <w:rPr>
          <w:rFonts w:ascii="Times New Roman" w:hAnsi="Times New Roman" w:cs="Times New Roman"/>
          <w:sz w:val="24"/>
          <w:szCs w:val="24"/>
        </w:rPr>
        <w:lastRenderedPageBreak/>
        <w:t xml:space="preserve">law. These rights are now protected by </w:t>
      </w:r>
      <w:r w:rsidR="005B5184" w:rsidRPr="005B5184">
        <w:rPr>
          <w:rFonts w:ascii="Times New Roman" w:hAnsi="Times New Roman" w:cs="Times New Roman"/>
          <w:sz w:val="24"/>
          <w:szCs w:val="24"/>
        </w:rPr>
        <w:t>Article 20 of the C</w:t>
      </w:r>
      <w:r w:rsidR="005B5184">
        <w:rPr>
          <w:rFonts w:ascii="Times New Roman" w:hAnsi="Times New Roman" w:cs="Times New Roman"/>
          <w:sz w:val="24"/>
          <w:szCs w:val="24"/>
        </w:rPr>
        <w:t xml:space="preserve">onvention on the Rights of the Child (CRC), which </w:t>
      </w:r>
      <w:r w:rsidR="005B5184" w:rsidRPr="005B5184">
        <w:rPr>
          <w:rFonts w:ascii="Times New Roman" w:hAnsi="Times New Roman" w:cs="Times New Roman"/>
          <w:sz w:val="24"/>
          <w:szCs w:val="24"/>
        </w:rPr>
        <w:t xml:space="preserve">governs the placement of children </w:t>
      </w:r>
      <w:r w:rsidR="005B5184" w:rsidRPr="005B5184">
        <w:rPr>
          <w:rFonts w:ascii="Times New Roman" w:eastAsia="Times New Roman" w:hAnsi="Times New Roman" w:cs="Times New Roman"/>
          <w:color w:val="000000"/>
          <w:sz w:val="24"/>
          <w:szCs w:val="24"/>
          <w:shd w:val="clear" w:color="auto" w:fill="FFFFFF"/>
        </w:rPr>
        <w:t>“temporarily or permanently deprived” of their family environment and guarantees them “special protection and assistance provided by the State.”</w:t>
      </w:r>
      <w:r w:rsidR="005B5184">
        <w:rPr>
          <w:rStyle w:val="FootnoteReference"/>
          <w:rFonts w:ascii="Times New Roman" w:hAnsi="Times New Roman" w:cs="Times New Roman"/>
          <w:sz w:val="24"/>
          <w:szCs w:val="24"/>
        </w:rPr>
        <w:footnoteReference w:id="10"/>
      </w:r>
      <w:r w:rsidR="005B5184" w:rsidRPr="005B5184">
        <w:rPr>
          <w:rFonts w:ascii="Times New Roman" w:hAnsi="Times New Roman" w:cs="Times New Roman"/>
          <w:sz w:val="24"/>
          <w:szCs w:val="24"/>
        </w:rPr>
        <w:t xml:space="preserve"> </w:t>
      </w:r>
      <w:r w:rsidR="005B5184">
        <w:rPr>
          <w:rFonts w:ascii="Times New Roman" w:hAnsi="Times New Roman" w:cs="Times New Roman"/>
          <w:sz w:val="24"/>
          <w:szCs w:val="24"/>
        </w:rPr>
        <w:t xml:space="preserve">  </w:t>
      </w:r>
    </w:p>
    <w:p w14:paraId="2094E2E4" w14:textId="6BEA8BFF" w:rsidR="004836BF" w:rsidRDefault="007E0BE9" w:rsidP="00B57B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B57B6A">
        <w:rPr>
          <w:rFonts w:ascii="Times New Roman" w:hAnsi="Times New Roman" w:cs="Times New Roman"/>
          <w:sz w:val="24"/>
          <w:szCs w:val="24"/>
        </w:rPr>
        <w:t>Méndez Report</w:t>
      </w:r>
      <w:r w:rsidR="00B933E4">
        <w:rPr>
          <w:rFonts w:ascii="Times New Roman" w:hAnsi="Times New Roman" w:cs="Times New Roman"/>
          <w:sz w:val="24"/>
          <w:szCs w:val="24"/>
        </w:rPr>
        <w:t xml:space="preserve"> brings</w:t>
      </w:r>
      <w:r>
        <w:rPr>
          <w:rFonts w:ascii="Times New Roman" w:hAnsi="Times New Roman" w:cs="Times New Roman"/>
          <w:sz w:val="24"/>
          <w:szCs w:val="24"/>
        </w:rPr>
        <w:t xml:space="preserve"> an overdue examination of </w:t>
      </w:r>
      <w:r w:rsidR="005B5184">
        <w:rPr>
          <w:rFonts w:ascii="Times New Roman" w:hAnsi="Times New Roman" w:cs="Times New Roman"/>
          <w:sz w:val="24"/>
          <w:szCs w:val="24"/>
        </w:rPr>
        <w:t>the obligation of governments to protect</w:t>
      </w:r>
      <w:r>
        <w:rPr>
          <w:rFonts w:ascii="Times New Roman" w:hAnsi="Times New Roman" w:cs="Times New Roman"/>
          <w:sz w:val="24"/>
          <w:szCs w:val="24"/>
        </w:rPr>
        <w:t xml:space="preserve"> </w:t>
      </w:r>
      <w:r w:rsidR="005B5184">
        <w:rPr>
          <w:rFonts w:ascii="Times New Roman" w:hAnsi="Times New Roman" w:cs="Times New Roman"/>
          <w:sz w:val="24"/>
          <w:szCs w:val="24"/>
        </w:rPr>
        <w:t xml:space="preserve">children from </w:t>
      </w:r>
      <w:r>
        <w:rPr>
          <w:rFonts w:ascii="Times New Roman" w:hAnsi="Times New Roman" w:cs="Times New Roman"/>
          <w:sz w:val="24"/>
          <w:szCs w:val="24"/>
        </w:rPr>
        <w:t>torture</w:t>
      </w:r>
      <w:r w:rsidRPr="007E0BE9">
        <w:rPr>
          <w:rFonts w:ascii="Times New Roman" w:hAnsi="Times New Roman" w:cs="Times New Roman"/>
          <w:sz w:val="24"/>
          <w:szCs w:val="24"/>
        </w:rPr>
        <w:t xml:space="preserve"> </w:t>
      </w:r>
      <w:r w:rsidR="005B5184">
        <w:rPr>
          <w:rFonts w:ascii="Times New Roman" w:hAnsi="Times New Roman" w:cs="Times New Roman"/>
          <w:sz w:val="24"/>
          <w:szCs w:val="24"/>
        </w:rPr>
        <w:t xml:space="preserve">or ill-treatment, as established by the </w:t>
      </w:r>
      <w:r w:rsidRPr="00B57B6A">
        <w:rPr>
          <w:rFonts w:ascii="Times New Roman" w:hAnsi="Times New Roman" w:cs="Times New Roman"/>
          <w:sz w:val="24"/>
          <w:szCs w:val="24"/>
        </w:rPr>
        <w:t>an</w:t>
      </w:r>
      <w:r w:rsidR="005B5184">
        <w:rPr>
          <w:rFonts w:ascii="Times New Roman" w:hAnsi="Times New Roman" w:cs="Times New Roman"/>
          <w:sz w:val="24"/>
          <w:szCs w:val="24"/>
        </w:rPr>
        <w:t xml:space="preserve">ti-torture framework of </w:t>
      </w:r>
      <w:r w:rsidRPr="00B57B6A">
        <w:rPr>
          <w:rFonts w:ascii="Times New Roman" w:hAnsi="Times New Roman" w:cs="Times New Roman"/>
          <w:sz w:val="24"/>
          <w:szCs w:val="24"/>
        </w:rPr>
        <w:t>the</w:t>
      </w:r>
      <w:r>
        <w:rPr>
          <w:rFonts w:ascii="Times New Roman" w:hAnsi="Times New Roman" w:cs="Times New Roman"/>
          <w:sz w:val="24"/>
          <w:szCs w:val="24"/>
        </w:rPr>
        <w:t xml:space="preserve"> UN</w:t>
      </w:r>
      <w:r w:rsidRPr="00B57B6A">
        <w:rPr>
          <w:rFonts w:ascii="Times New Roman" w:hAnsi="Times New Roman" w:cs="Times New Roman"/>
          <w:sz w:val="24"/>
          <w:szCs w:val="24"/>
        </w:rPr>
        <w:t xml:space="preserve"> Convention Against Torture (CAT)</w:t>
      </w:r>
      <w:r>
        <w:rPr>
          <w:rFonts w:ascii="Times New Roman" w:hAnsi="Times New Roman" w:cs="Times New Roman"/>
          <w:sz w:val="24"/>
          <w:szCs w:val="24"/>
        </w:rPr>
        <w:t>.</w:t>
      </w:r>
      <w:bookmarkStart w:id="8" w:name="_Ref471732133"/>
      <w:r w:rsidRPr="00B57B6A">
        <w:rPr>
          <w:rStyle w:val="FootnoteReference"/>
          <w:rFonts w:ascii="Times New Roman" w:hAnsi="Times New Roman" w:cs="Times New Roman"/>
          <w:sz w:val="24"/>
          <w:szCs w:val="24"/>
        </w:rPr>
        <w:footnoteReference w:id="11"/>
      </w:r>
      <w:bookmarkEnd w:id="8"/>
      <w:r w:rsidR="00F64A92">
        <w:rPr>
          <w:rFonts w:ascii="Times New Roman" w:hAnsi="Times New Roman" w:cs="Times New Roman"/>
          <w:sz w:val="24"/>
          <w:szCs w:val="24"/>
        </w:rPr>
        <w:t xml:space="preserve"> In addition, </w:t>
      </w:r>
      <w:r w:rsidR="00F64A92" w:rsidRPr="00B57B6A">
        <w:rPr>
          <w:rFonts w:ascii="Times New Roman" w:hAnsi="Times New Roman" w:cs="Times New Roman"/>
          <w:sz w:val="24"/>
          <w:szCs w:val="24"/>
        </w:rPr>
        <w:t>Méndez</w:t>
      </w:r>
      <w:r w:rsidR="00F64A92">
        <w:rPr>
          <w:rFonts w:ascii="Times New Roman" w:hAnsi="Times New Roman" w:cs="Times New Roman"/>
          <w:sz w:val="24"/>
          <w:szCs w:val="24"/>
        </w:rPr>
        <w:t>’</w:t>
      </w:r>
      <w:r w:rsidR="00856580">
        <w:rPr>
          <w:rFonts w:ascii="Times New Roman" w:hAnsi="Times New Roman" w:cs="Times New Roman"/>
          <w:sz w:val="24"/>
          <w:szCs w:val="24"/>
        </w:rPr>
        <w:t>s</w:t>
      </w:r>
      <w:r w:rsidR="00F64A92">
        <w:rPr>
          <w:rFonts w:ascii="Times New Roman" w:hAnsi="Times New Roman" w:cs="Times New Roman"/>
          <w:sz w:val="24"/>
          <w:szCs w:val="24"/>
        </w:rPr>
        <w:t xml:space="preserve"> recommendations</w:t>
      </w:r>
      <w:r w:rsidR="004836BF">
        <w:rPr>
          <w:rFonts w:ascii="Times New Roman" w:hAnsi="Times New Roman" w:cs="Times New Roman"/>
          <w:sz w:val="24"/>
          <w:szCs w:val="24"/>
        </w:rPr>
        <w:t xml:space="preserve"> </w:t>
      </w:r>
      <w:r w:rsidR="00F64A92">
        <w:rPr>
          <w:rFonts w:ascii="Times New Roman" w:hAnsi="Times New Roman" w:cs="Times New Roman"/>
          <w:sz w:val="24"/>
          <w:szCs w:val="24"/>
        </w:rPr>
        <w:t>are</w:t>
      </w:r>
      <w:r>
        <w:rPr>
          <w:rFonts w:ascii="Times New Roman" w:hAnsi="Times New Roman" w:cs="Times New Roman"/>
          <w:sz w:val="24"/>
          <w:szCs w:val="24"/>
        </w:rPr>
        <w:t xml:space="preserve"> informed by </w:t>
      </w:r>
      <w:r w:rsidR="00BF61FE">
        <w:rPr>
          <w:rFonts w:ascii="Times New Roman" w:hAnsi="Times New Roman" w:cs="Times New Roman"/>
          <w:sz w:val="24"/>
          <w:szCs w:val="24"/>
        </w:rPr>
        <w:t>t</w:t>
      </w:r>
      <w:r>
        <w:rPr>
          <w:rFonts w:ascii="Times New Roman" w:hAnsi="Times New Roman" w:cs="Times New Roman"/>
          <w:sz w:val="24"/>
          <w:szCs w:val="24"/>
        </w:rPr>
        <w:t>he new UN Convention on the Rights of Persons with Disabilities (CRPD).</w:t>
      </w:r>
      <w:r w:rsidRPr="00B57B6A">
        <w:rPr>
          <w:rStyle w:val="FootnoteReference"/>
          <w:rFonts w:ascii="Times New Roman" w:hAnsi="Times New Roman" w:cs="Times New Roman"/>
          <w:sz w:val="24"/>
          <w:szCs w:val="24"/>
        </w:rPr>
        <w:footnoteReference w:id="12"/>
      </w:r>
      <w:r w:rsidRPr="00B57B6A">
        <w:rPr>
          <w:rFonts w:ascii="Times New Roman" w:hAnsi="Times New Roman" w:cs="Times New Roman"/>
          <w:sz w:val="24"/>
          <w:szCs w:val="24"/>
        </w:rPr>
        <w:t xml:space="preserve"> </w:t>
      </w:r>
      <w:r w:rsidR="0041391C">
        <w:rPr>
          <w:rFonts w:ascii="Times New Roman" w:hAnsi="Times New Roman" w:cs="Times New Roman"/>
          <w:sz w:val="24"/>
          <w:szCs w:val="24"/>
        </w:rPr>
        <w:t>T</w:t>
      </w:r>
      <w:r>
        <w:rPr>
          <w:rFonts w:ascii="Times New Roman" w:hAnsi="Times New Roman" w:cs="Times New Roman"/>
          <w:sz w:val="24"/>
          <w:szCs w:val="24"/>
        </w:rPr>
        <w:t xml:space="preserve">he </w:t>
      </w:r>
      <w:r w:rsidRPr="00B57B6A">
        <w:rPr>
          <w:rFonts w:ascii="Times New Roman" w:hAnsi="Times New Roman" w:cs="Times New Roman"/>
          <w:sz w:val="24"/>
          <w:szCs w:val="24"/>
        </w:rPr>
        <w:t xml:space="preserve">CRPD protects the right </w:t>
      </w:r>
      <w:r w:rsidR="00F75BE6">
        <w:rPr>
          <w:rFonts w:ascii="Times New Roman" w:hAnsi="Times New Roman" w:cs="Times New Roman"/>
          <w:sz w:val="24"/>
          <w:szCs w:val="24"/>
        </w:rPr>
        <w:t xml:space="preserve">of children </w:t>
      </w:r>
      <w:r w:rsidRPr="00B57B6A">
        <w:rPr>
          <w:rFonts w:ascii="Times New Roman" w:hAnsi="Times New Roman" w:cs="Times New Roman"/>
          <w:sz w:val="24"/>
          <w:szCs w:val="24"/>
        </w:rPr>
        <w:t>to grow up in the community with a family.</w:t>
      </w:r>
      <w:r w:rsidRPr="00B57B6A">
        <w:rPr>
          <w:rStyle w:val="FootnoteReference"/>
          <w:rFonts w:ascii="Times New Roman" w:hAnsi="Times New Roman" w:cs="Times New Roman"/>
          <w:sz w:val="24"/>
          <w:szCs w:val="24"/>
        </w:rPr>
        <w:footnoteReference w:id="13"/>
      </w:r>
      <w:r w:rsidR="00856580">
        <w:rPr>
          <w:rFonts w:ascii="Times New Roman" w:hAnsi="Times New Roman" w:cs="Times New Roman"/>
          <w:sz w:val="24"/>
          <w:szCs w:val="24"/>
        </w:rPr>
        <w:t xml:space="preserve"> </w:t>
      </w:r>
      <w:r w:rsidR="00895B5C">
        <w:rPr>
          <w:rFonts w:ascii="Times New Roman" w:hAnsi="Times New Roman" w:cs="Times New Roman"/>
          <w:sz w:val="24"/>
          <w:szCs w:val="24"/>
        </w:rPr>
        <w:t>T</w:t>
      </w:r>
      <w:r w:rsidRPr="00B57B6A">
        <w:rPr>
          <w:rFonts w:ascii="Times New Roman" w:hAnsi="Times New Roman" w:cs="Times New Roman"/>
          <w:sz w:val="24"/>
          <w:szCs w:val="24"/>
        </w:rPr>
        <w:t xml:space="preserve">he UN Committee on the Rights of Persons with Disabilities has recently </w:t>
      </w:r>
      <w:r w:rsidR="00BF61FE">
        <w:rPr>
          <w:rFonts w:ascii="Times New Roman" w:hAnsi="Times New Roman" w:cs="Times New Roman"/>
          <w:sz w:val="24"/>
          <w:szCs w:val="24"/>
        </w:rPr>
        <w:t xml:space="preserve">interpreted that right to </w:t>
      </w:r>
      <w:r w:rsidRPr="00B57B6A">
        <w:rPr>
          <w:rFonts w:ascii="Times New Roman" w:hAnsi="Times New Roman" w:cs="Times New Roman"/>
          <w:sz w:val="24"/>
          <w:szCs w:val="24"/>
        </w:rPr>
        <w:t>cal</w:t>
      </w:r>
      <w:r w:rsidR="00BF61FE">
        <w:rPr>
          <w:rFonts w:ascii="Times New Roman" w:hAnsi="Times New Roman" w:cs="Times New Roman"/>
          <w:sz w:val="24"/>
          <w:szCs w:val="24"/>
        </w:rPr>
        <w:t>l</w:t>
      </w:r>
      <w:r w:rsidRPr="00B57B6A">
        <w:rPr>
          <w:rFonts w:ascii="Times New Roman" w:hAnsi="Times New Roman" w:cs="Times New Roman"/>
          <w:sz w:val="24"/>
          <w:szCs w:val="24"/>
        </w:rPr>
        <w:t xml:space="preserve"> for an end to the institutional placement of children. </w:t>
      </w:r>
      <w:r w:rsidR="00BF61FE">
        <w:rPr>
          <w:rFonts w:ascii="Times New Roman" w:hAnsi="Times New Roman" w:cs="Times New Roman"/>
          <w:sz w:val="24"/>
          <w:szCs w:val="24"/>
        </w:rPr>
        <w:t xml:space="preserve">This </w:t>
      </w:r>
      <w:r w:rsidR="00736C73">
        <w:rPr>
          <w:rFonts w:ascii="Times New Roman" w:hAnsi="Times New Roman" w:cs="Times New Roman"/>
          <w:sz w:val="24"/>
          <w:szCs w:val="24"/>
        </w:rPr>
        <w:t xml:space="preserve">interpretation of the CRPD </w:t>
      </w:r>
      <w:r w:rsidR="00895B5C">
        <w:rPr>
          <w:rFonts w:ascii="Times New Roman" w:hAnsi="Times New Roman" w:cs="Times New Roman"/>
          <w:sz w:val="24"/>
          <w:szCs w:val="24"/>
        </w:rPr>
        <w:t>has major implications for children’s rights and for institutional placement around the world</w:t>
      </w:r>
      <w:r w:rsidR="004836BF">
        <w:rPr>
          <w:rFonts w:ascii="Times New Roman" w:hAnsi="Times New Roman" w:cs="Times New Roman"/>
          <w:sz w:val="24"/>
          <w:szCs w:val="24"/>
        </w:rPr>
        <w:t xml:space="preserve">. </w:t>
      </w:r>
      <w:r w:rsidR="00F64A92">
        <w:rPr>
          <w:rFonts w:ascii="Times New Roman" w:hAnsi="Times New Roman" w:cs="Times New Roman"/>
          <w:sz w:val="24"/>
          <w:szCs w:val="24"/>
        </w:rPr>
        <w:t>The implementation of</w:t>
      </w:r>
      <w:r w:rsidR="004836BF">
        <w:rPr>
          <w:rFonts w:ascii="Times New Roman" w:hAnsi="Times New Roman" w:cs="Times New Roman"/>
          <w:sz w:val="24"/>
          <w:szCs w:val="24"/>
        </w:rPr>
        <w:t xml:space="preserve"> </w:t>
      </w:r>
      <w:r w:rsidR="00F64A92">
        <w:rPr>
          <w:rFonts w:ascii="Times New Roman" w:hAnsi="Times New Roman" w:cs="Times New Roman"/>
          <w:sz w:val="24"/>
          <w:szCs w:val="24"/>
        </w:rPr>
        <w:t>M</w:t>
      </w:r>
      <w:r w:rsidR="008D7A56">
        <w:rPr>
          <w:rFonts w:ascii="Times New Roman" w:hAnsi="Times New Roman" w:cs="Times New Roman"/>
          <w:sz w:val="24"/>
          <w:szCs w:val="24"/>
        </w:rPr>
        <w:t>é</w:t>
      </w:r>
      <w:r w:rsidR="00F64A92">
        <w:rPr>
          <w:rFonts w:ascii="Times New Roman" w:hAnsi="Times New Roman" w:cs="Times New Roman"/>
          <w:sz w:val="24"/>
          <w:szCs w:val="24"/>
        </w:rPr>
        <w:t>ndez’</w:t>
      </w:r>
      <w:r w:rsidR="00856580">
        <w:rPr>
          <w:rFonts w:ascii="Times New Roman" w:hAnsi="Times New Roman" w:cs="Times New Roman"/>
          <w:sz w:val="24"/>
          <w:szCs w:val="24"/>
        </w:rPr>
        <w:t>s</w:t>
      </w:r>
      <w:r w:rsidR="00F64A92">
        <w:rPr>
          <w:rFonts w:ascii="Times New Roman" w:hAnsi="Times New Roman" w:cs="Times New Roman"/>
          <w:sz w:val="24"/>
          <w:szCs w:val="24"/>
        </w:rPr>
        <w:t xml:space="preserve"> recommendations would go a long way to protecting the right to a family as guaranteed by the CRPD. </w:t>
      </w:r>
    </w:p>
    <w:p w14:paraId="6D1ACDD7" w14:textId="36BED040" w:rsidR="004F56FD" w:rsidRPr="00B57B6A" w:rsidRDefault="00895B5C" w:rsidP="00B57B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By bringing to bear </w:t>
      </w:r>
      <w:r w:rsidR="00BF61FE">
        <w:rPr>
          <w:rFonts w:ascii="Times New Roman" w:hAnsi="Times New Roman" w:cs="Times New Roman"/>
          <w:sz w:val="24"/>
          <w:szCs w:val="24"/>
        </w:rPr>
        <w:t xml:space="preserve">the requirements of </w:t>
      </w:r>
      <w:r>
        <w:rPr>
          <w:rFonts w:ascii="Times New Roman" w:hAnsi="Times New Roman" w:cs="Times New Roman"/>
          <w:sz w:val="24"/>
          <w:szCs w:val="24"/>
        </w:rPr>
        <w:t>CAT and CRPD, the Méndez</w:t>
      </w:r>
      <w:r w:rsidR="00736C73">
        <w:rPr>
          <w:rFonts w:ascii="Times New Roman" w:hAnsi="Times New Roman" w:cs="Times New Roman"/>
          <w:sz w:val="24"/>
          <w:szCs w:val="24"/>
        </w:rPr>
        <w:t xml:space="preserve"> Report</w:t>
      </w:r>
      <w:r>
        <w:rPr>
          <w:rFonts w:ascii="Times New Roman" w:hAnsi="Times New Roman" w:cs="Times New Roman"/>
          <w:sz w:val="24"/>
          <w:szCs w:val="24"/>
        </w:rPr>
        <w:t xml:space="preserve"> point</w:t>
      </w:r>
      <w:r w:rsidR="00AD6C36">
        <w:rPr>
          <w:rFonts w:ascii="Times New Roman" w:hAnsi="Times New Roman" w:cs="Times New Roman"/>
          <w:sz w:val="24"/>
          <w:szCs w:val="24"/>
        </w:rPr>
        <w:t>s</w:t>
      </w:r>
      <w:r>
        <w:rPr>
          <w:rFonts w:ascii="Times New Roman" w:hAnsi="Times New Roman" w:cs="Times New Roman"/>
          <w:sz w:val="24"/>
          <w:szCs w:val="24"/>
        </w:rPr>
        <w:t xml:space="preserve"> toward upd</w:t>
      </w:r>
      <w:r w:rsidR="00F64A92">
        <w:rPr>
          <w:rFonts w:ascii="Times New Roman" w:hAnsi="Times New Roman" w:cs="Times New Roman"/>
          <w:sz w:val="24"/>
          <w:szCs w:val="24"/>
        </w:rPr>
        <w:t>ates needed in international</w:t>
      </w:r>
      <w:r>
        <w:rPr>
          <w:rFonts w:ascii="Times New Roman" w:hAnsi="Times New Roman" w:cs="Times New Roman"/>
          <w:sz w:val="24"/>
          <w:szCs w:val="24"/>
        </w:rPr>
        <w:t xml:space="preserve"> law and practice.</w:t>
      </w:r>
      <w:r w:rsidR="004836BF">
        <w:rPr>
          <w:rFonts w:ascii="Times New Roman" w:hAnsi="Times New Roman" w:cs="Times New Roman"/>
          <w:sz w:val="24"/>
          <w:szCs w:val="24"/>
        </w:rPr>
        <w:t xml:space="preserve"> T</w:t>
      </w:r>
      <w:r w:rsidR="00F258BE" w:rsidRPr="00B57B6A">
        <w:rPr>
          <w:rFonts w:ascii="Times New Roman" w:hAnsi="Times New Roman" w:cs="Times New Roman"/>
          <w:sz w:val="24"/>
          <w:szCs w:val="24"/>
        </w:rPr>
        <w:t xml:space="preserve">he recommendations of a UN Special Rapporteur are </w:t>
      </w:r>
      <w:r>
        <w:rPr>
          <w:rFonts w:ascii="Times New Roman" w:hAnsi="Times New Roman" w:cs="Times New Roman"/>
          <w:sz w:val="24"/>
          <w:szCs w:val="24"/>
        </w:rPr>
        <w:t xml:space="preserve">themselves </w:t>
      </w:r>
      <w:r w:rsidR="00F258BE" w:rsidRPr="00B57B6A">
        <w:rPr>
          <w:rFonts w:ascii="Times New Roman" w:hAnsi="Times New Roman" w:cs="Times New Roman"/>
          <w:sz w:val="24"/>
          <w:szCs w:val="24"/>
        </w:rPr>
        <w:t>non-binding “soft law,” but they can become binding when incorporated into the decisions of international human rights bodies.</w:t>
      </w:r>
      <w:bookmarkStart w:id="9" w:name="_Ref339826997"/>
      <w:r w:rsidR="00F258BE" w:rsidRPr="00B57B6A">
        <w:rPr>
          <w:rStyle w:val="FootnoteReference"/>
          <w:rFonts w:ascii="Times New Roman" w:hAnsi="Times New Roman" w:cs="Times New Roman"/>
          <w:sz w:val="24"/>
          <w:szCs w:val="24"/>
        </w:rPr>
        <w:footnoteReference w:id="14"/>
      </w:r>
      <w:bookmarkEnd w:id="9"/>
      <w:r w:rsidR="00F258BE" w:rsidRPr="00B57B6A">
        <w:rPr>
          <w:rFonts w:ascii="Times New Roman" w:hAnsi="Times New Roman" w:cs="Times New Roman"/>
          <w:sz w:val="24"/>
          <w:szCs w:val="24"/>
        </w:rPr>
        <w:t xml:space="preserve"> </w:t>
      </w:r>
      <w:r w:rsidR="003653A4" w:rsidRPr="00B57B6A">
        <w:rPr>
          <w:rFonts w:ascii="Times New Roman" w:hAnsi="Times New Roman" w:cs="Times New Roman"/>
          <w:sz w:val="24"/>
          <w:szCs w:val="24"/>
        </w:rPr>
        <w:t>T</w:t>
      </w:r>
      <w:r w:rsidR="00F258BE" w:rsidRPr="00B57B6A">
        <w:rPr>
          <w:rFonts w:ascii="Times New Roman" w:hAnsi="Times New Roman" w:cs="Times New Roman"/>
          <w:sz w:val="24"/>
          <w:szCs w:val="24"/>
        </w:rPr>
        <w:t>he Special Rapporteur can help “establish very precise norms and rules of interpretation regarding their activities, which lead to a widening of the protection granted to torture victims.”</w:t>
      </w:r>
      <w:r w:rsidR="00F258BE" w:rsidRPr="00B57B6A">
        <w:rPr>
          <w:rStyle w:val="FootnoteReference"/>
          <w:rFonts w:ascii="Times New Roman" w:hAnsi="Times New Roman" w:cs="Times New Roman"/>
          <w:sz w:val="24"/>
          <w:szCs w:val="24"/>
        </w:rPr>
        <w:footnoteReference w:id="15"/>
      </w:r>
      <w:r w:rsidR="003653A4" w:rsidRPr="00B57B6A">
        <w:rPr>
          <w:rFonts w:ascii="Times New Roman" w:hAnsi="Times New Roman" w:cs="Times New Roman"/>
          <w:sz w:val="24"/>
          <w:szCs w:val="24"/>
        </w:rPr>
        <w:t xml:space="preserve"> T</w:t>
      </w:r>
      <w:r w:rsidR="00F258BE" w:rsidRPr="00B57B6A">
        <w:rPr>
          <w:rFonts w:ascii="Times New Roman" w:hAnsi="Times New Roman" w:cs="Times New Roman"/>
          <w:sz w:val="24"/>
          <w:szCs w:val="24"/>
        </w:rPr>
        <w:t xml:space="preserve">he </w:t>
      </w:r>
      <w:r w:rsidR="003653A4" w:rsidRPr="00B57B6A">
        <w:rPr>
          <w:rFonts w:ascii="Times New Roman" w:hAnsi="Times New Roman" w:cs="Times New Roman"/>
          <w:sz w:val="24"/>
          <w:szCs w:val="24"/>
        </w:rPr>
        <w:t xml:space="preserve">Special Rapporteur is well-placed to help </w:t>
      </w:r>
      <w:r w:rsidR="00AD6C36">
        <w:rPr>
          <w:rFonts w:ascii="Times New Roman" w:hAnsi="Times New Roman" w:cs="Times New Roman"/>
          <w:sz w:val="24"/>
          <w:szCs w:val="24"/>
        </w:rPr>
        <w:t>i</w:t>
      </w:r>
      <w:r w:rsidR="003653A4" w:rsidRPr="00B57B6A">
        <w:rPr>
          <w:rFonts w:ascii="Times New Roman" w:hAnsi="Times New Roman" w:cs="Times New Roman"/>
          <w:sz w:val="24"/>
          <w:szCs w:val="24"/>
        </w:rPr>
        <w:t>nter</w:t>
      </w:r>
      <w:r w:rsidR="00F64A92">
        <w:rPr>
          <w:rFonts w:ascii="Times New Roman" w:hAnsi="Times New Roman" w:cs="Times New Roman"/>
          <w:sz w:val="24"/>
          <w:szCs w:val="24"/>
        </w:rPr>
        <w:t>national actors develop practices</w:t>
      </w:r>
      <w:r w:rsidR="003653A4" w:rsidRPr="00B57B6A">
        <w:rPr>
          <w:rFonts w:ascii="Times New Roman" w:hAnsi="Times New Roman" w:cs="Times New Roman"/>
          <w:sz w:val="24"/>
          <w:szCs w:val="24"/>
        </w:rPr>
        <w:t xml:space="preserve"> that will promote and protect </w:t>
      </w:r>
      <w:r w:rsidR="001502C1">
        <w:rPr>
          <w:rFonts w:ascii="Times New Roman" w:hAnsi="Times New Roman" w:cs="Times New Roman"/>
          <w:sz w:val="24"/>
          <w:szCs w:val="24"/>
        </w:rPr>
        <w:t xml:space="preserve">human </w:t>
      </w:r>
      <w:r w:rsidR="003653A4" w:rsidRPr="00B57B6A">
        <w:rPr>
          <w:rFonts w:ascii="Times New Roman" w:hAnsi="Times New Roman" w:cs="Times New Roman"/>
          <w:sz w:val="24"/>
          <w:szCs w:val="24"/>
        </w:rPr>
        <w:t>rights.</w:t>
      </w:r>
    </w:p>
    <w:p w14:paraId="714239A5" w14:textId="22E87C7F" w:rsidR="000E316C" w:rsidRPr="00B57B6A" w:rsidRDefault="00CE1088"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Part I </w:t>
      </w:r>
      <w:r w:rsidR="00734F46" w:rsidRPr="00B57B6A">
        <w:rPr>
          <w:rFonts w:ascii="Times New Roman" w:hAnsi="Times New Roman" w:cs="Times New Roman"/>
          <w:sz w:val="24"/>
          <w:szCs w:val="24"/>
        </w:rPr>
        <w:t xml:space="preserve">of this article describes the scope of the </w:t>
      </w:r>
      <w:r w:rsidR="007A5B7A" w:rsidRPr="00B57B6A">
        <w:rPr>
          <w:rFonts w:ascii="Times New Roman" w:hAnsi="Times New Roman" w:cs="Times New Roman"/>
          <w:sz w:val="24"/>
          <w:szCs w:val="24"/>
        </w:rPr>
        <w:t>Méndez</w:t>
      </w:r>
      <w:r w:rsidRPr="00B57B6A">
        <w:rPr>
          <w:rFonts w:ascii="Times New Roman" w:hAnsi="Times New Roman" w:cs="Times New Roman"/>
          <w:sz w:val="24"/>
          <w:szCs w:val="24"/>
        </w:rPr>
        <w:t xml:space="preserve"> Report</w:t>
      </w:r>
      <w:r w:rsidR="003362EE">
        <w:rPr>
          <w:rFonts w:ascii="Times New Roman" w:hAnsi="Times New Roman" w:cs="Times New Roman"/>
          <w:sz w:val="24"/>
          <w:szCs w:val="24"/>
        </w:rPr>
        <w:t>.</w:t>
      </w:r>
      <w:r w:rsidR="003362EE" w:rsidRPr="003362EE">
        <w:rPr>
          <w:rFonts w:ascii="Times New Roman" w:hAnsi="Times New Roman" w:cs="Times New Roman"/>
          <w:sz w:val="24"/>
          <w:szCs w:val="24"/>
        </w:rPr>
        <w:t xml:space="preserve"> </w:t>
      </w:r>
      <w:r w:rsidR="00AD6C36">
        <w:rPr>
          <w:rFonts w:ascii="Times New Roman" w:hAnsi="Times New Roman" w:cs="Times New Roman"/>
          <w:sz w:val="24"/>
          <w:szCs w:val="24"/>
        </w:rPr>
        <w:t>T</w:t>
      </w:r>
      <w:r w:rsidR="003362EE" w:rsidRPr="00B57B6A">
        <w:rPr>
          <w:rFonts w:ascii="Times New Roman" w:hAnsi="Times New Roman" w:cs="Times New Roman"/>
          <w:sz w:val="24"/>
          <w:szCs w:val="24"/>
        </w:rPr>
        <w:t xml:space="preserve">he </w:t>
      </w:r>
      <w:r w:rsidR="00AD6C36">
        <w:rPr>
          <w:rFonts w:ascii="Times New Roman" w:hAnsi="Times New Roman" w:cs="Times New Roman"/>
          <w:sz w:val="24"/>
          <w:szCs w:val="24"/>
        </w:rPr>
        <w:t xml:space="preserve">recommendations </w:t>
      </w:r>
      <w:r w:rsidR="003362EE">
        <w:rPr>
          <w:rFonts w:ascii="Times New Roman" w:hAnsi="Times New Roman" w:cs="Times New Roman"/>
          <w:sz w:val="24"/>
          <w:szCs w:val="24"/>
        </w:rPr>
        <w:t xml:space="preserve">apply to the detention of children </w:t>
      </w:r>
      <w:r w:rsidR="003362EE" w:rsidRPr="00B57B6A">
        <w:rPr>
          <w:rFonts w:ascii="Times New Roman" w:hAnsi="Times New Roman" w:cs="Times New Roman"/>
          <w:sz w:val="24"/>
          <w:szCs w:val="24"/>
        </w:rPr>
        <w:t>in any institution – whether criminal, custodial, medical</w:t>
      </w:r>
      <w:r w:rsidR="003362EE">
        <w:rPr>
          <w:rFonts w:ascii="Times New Roman" w:hAnsi="Times New Roman" w:cs="Times New Roman"/>
          <w:sz w:val="24"/>
          <w:szCs w:val="24"/>
        </w:rPr>
        <w:t>,</w:t>
      </w:r>
      <w:r w:rsidR="003362EE" w:rsidRPr="00B57B6A">
        <w:rPr>
          <w:rFonts w:ascii="Times New Roman" w:hAnsi="Times New Roman" w:cs="Times New Roman"/>
          <w:sz w:val="24"/>
          <w:szCs w:val="24"/>
        </w:rPr>
        <w:t xml:space="preserve"> or otherwise.</w:t>
      </w:r>
      <w:r w:rsidR="003362EE">
        <w:rPr>
          <w:rFonts w:ascii="Times New Roman" w:hAnsi="Times New Roman" w:cs="Times New Roman"/>
          <w:sz w:val="24"/>
          <w:szCs w:val="24"/>
        </w:rPr>
        <w:t xml:space="preserve"> Part I </w:t>
      </w:r>
      <w:r w:rsidR="00AD6C36">
        <w:rPr>
          <w:rFonts w:ascii="Times New Roman" w:hAnsi="Times New Roman" w:cs="Times New Roman"/>
          <w:sz w:val="24"/>
          <w:szCs w:val="24"/>
        </w:rPr>
        <w:t xml:space="preserve">also </w:t>
      </w:r>
      <w:r w:rsidR="000E316C" w:rsidRPr="00B57B6A">
        <w:rPr>
          <w:rFonts w:ascii="Times New Roman" w:hAnsi="Times New Roman" w:cs="Times New Roman"/>
          <w:sz w:val="24"/>
          <w:szCs w:val="24"/>
        </w:rPr>
        <w:t xml:space="preserve">describes the </w:t>
      </w:r>
      <w:r w:rsidR="003362EE">
        <w:rPr>
          <w:rFonts w:ascii="Times New Roman" w:hAnsi="Times New Roman" w:cs="Times New Roman"/>
          <w:sz w:val="24"/>
          <w:szCs w:val="24"/>
        </w:rPr>
        <w:t xml:space="preserve">implications of the </w:t>
      </w:r>
      <w:r w:rsidR="003362EE" w:rsidRPr="00B57B6A">
        <w:rPr>
          <w:rFonts w:ascii="Times New Roman" w:hAnsi="Times New Roman" w:cs="Times New Roman"/>
          <w:sz w:val="24"/>
          <w:szCs w:val="24"/>
        </w:rPr>
        <w:t>Méndez Report</w:t>
      </w:r>
      <w:r w:rsidR="003362EE">
        <w:rPr>
          <w:rFonts w:ascii="Times New Roman" w:hAnsi="Times New Roman" w:cs="Times New Roman"/>
          <w:sz w:val="24"/>
          <w:szCs w:val="24"/>
        </w:rPr>
        <w:t xml:space="preserve"> for</w:t>
      </w:r>
      <w:r w:rsidR="000E316C" w:rsidRPr="00B57B6A">
        <w:rPr>
          <w:rFonts w:ascii="Times New Roman" w:hAnsi="Times New Roman" w:cs="Times New Roman"/>
          <w:sz w:val="24"/>
          <w:szCs w:val="24"/>
        </w:rPr>
        <w:t xml:space="preserve"> international donors and development agencies – and the need for governments to regulate international aid.</w:t>
      </w:r>
      <w:r w:rsidR="003362EE" w:rsidRPr="003362EE">
        <w:rPr>
          <w:rFonts w:ascii="Times New Roman" w:hAnsi="Times New Roman" w:cs="Times New Roman"/>
          <w:sz w:val="24"/>
          <w:szCs w:val="24"/>
        </w:rPr>
        <w:t xml:space="preserve"> </w:t>
      </w:r>
    </w:p>
    <w:p w14:paraId="4F5EA9F5" w14:textId="340CE6ED" w:rsidR="00734F46" w:rsidRPr="00B57B6A" w:rsidRDefault="00506D91"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lastRenderedPageBreak/>
        <w:t>Part II</w:t>
      </w:r>
      <w:r w:rsidR="00CE1088" w:rsidRPr="00B57B6A">
        <w:rPr>
          <w:rFonts w:ascii="Times New Roman" w:hAnsi="Times New Roman" w:cs="Times New Roman"/>
          <w:sz w:val="24"/>
          <w:szCs w:val="24"/>
        </w:rPr>
        <w:t xml:space="preserve"> describes the </w:t>
      </w:r>
      <w:r w:rsidRPr="00B57B6A">
        <w:rPr>
          <w:rFonts w:ascii="Times New Roman" w:hAnsi="Times New Roman" w:cs="Times New Roman"/>
          <w:sz w:val="24"/>
          <w:szCs w:val="24"/>
        </w:rPr>
        <w:t xml:space="preserve">breadth of the </w:t>
      </w:r>
      <w:r w:rsidR="00CE1088" w:rsidRPr="00B57B6A">
        <w:rPr>
          <w:rFonts w:ascii="Times New Roman" w:hAnsi="Times New Roman" w:cs="Times New Roman"/>
          <w:sz w:val="24"/>
          <w:szCs w:val="24"/>
        </w:rPr>
        <w:t>global problem</w:t>
      </w:r>
      <w:r w:rsidR="00A86B67" w:rsidRPr="00B57B6A">
        <w:rPr>
          <w:rFonts w:ascii="Times New Roman" w:hAnsi="Times New Roman" w:cs="Times New Roman"/>
          <w:sz w:val="24"/>
          <w:szCs w:val="24"/>
        </w:rPr>
        <w:t xml:space="preserve">. </w:t>
      </w:r>
      <w:r w:rsidR="00625420" w:rsidRPr="00B57B6A">
        <w:rPr>
          <w:rFonts w:ascii="Times New Roman" w:hAnsi="Times New Roman" w:cs="Times New Roman"/>
          <w:sz w:val="24"/>
          <w:szCs w:val="24"/>
        </w:rPr>
        <w:t xml:space="preserve">The vast majority of children </w:t>
      </w:r>
      <w:r w:rsidR="00AD6C36">
        <w:rPr>
          <w:rFonts w:ascii="Times New Roman" w:hAnsi="Times New Roman" w:cs="Times New Roman"/>
          <w:sz w:val="24"/>
          <w:szCs w:val="24"/>
        </w:rPr>
        <w:t xml:space="preserve">are placed </w:t>
      </w:r>
      <w:r w:rsidR="00625420" w:rsidRPr="00B57B6A">
        <w:rPr>
          <w:rFonts w:ascii="Times New Roman" w:hAnsi="Times New Roman" w:cs="Times New Roman"/>
          <w:sz w:val="24"/>
          <w:szCs w:val="24"/>
        </w:rPr>
        <w:t>in orphanages because of poverty or disability</w:t>
      </w:r>
      <w:r w:rsidR="00AD6C36">
        <w:rPr>
          <w:rFonts w:ascii="Times New Roman" w:hAnsi="Times New Roman" w:cs="Times New Roman"/>
          <w:sz w:val="24"/>
          <w:szCs w:val="24"/>
        </w:rPr>
        <w:t>.</w:t>
      </w:r>
      <w:r w:rsidR="00856580">
        <w:rPr>
          <w:rFonts w:ascii="Times New Roman" w:hAnsi="Times New Roman" w:cs="Times New Roman"/>
          <w:sz w:val="24"/>
          <w:szCs w:val="24"/>
        </w:rPr>
        <w:t xml:space="preserve"> </w:t>
      </w:r>
      <w:r w:rsidR="00AD6C36">
        <w:rPr>
          <w:rFonts w:ascii="Times New Roman" w:hAnsi="Times New Roman" w:cs="Times New Roman"/>
          <w:sz w:val="24"/>
          <w:szCs w:val="24"/>
        </w:rPr>
        <w:t xml:space="preserve">Such </w:t>
      </w:r>
      <w:r w:rsidR="00625420" w:rsidRPr="00B57B6A">
        <w:rPr>
          <w:rFonts w:ascii="Times New Roman" w:hAnsi="Times New Roman" w:cs="Times New Roman"/>
          <w:sz w:val="24"/>
          <w:szCs w:val="24"/>
        </w:rPr>
        <w:t xml:space="preserve">placement could be prevented if families received legal protections and support. </w:t>
      </w:r>
      <w:r w:rsidR="00CE1088" w:rsidRPr="00B57B6A">
        <w:rPr>
          <w:rFonts w:ascii="Times New Roman" w:hAnsi="Times New Roman" w:cs="Times New Roman"/>
          <w:sz w:val="24"/>
          <w:szCs w:val="24"/>
        </w:rPr>
        <w:t>Drawing on scientific research and human rights reporting, Part II</w:t>
      </w:r>
      <w:r w:rsidR="00AD6C36">
        <w:rPr>
          <w:rFonts w:ascii="Times New Roman" w:hAnsi="Times New Roman" w:cs="Times New Roman"/>
          <w:sz w:val="24"/>
          <w:szCs w:val="24"/>
        </w:rPr>
        <w:t xml:space="preserve"> </w:t>
      </w:r>
      <w:r w:rsidR="00CE1088" w:rsidRPr="00B57B6A">
        <w:rPr>
          <w:rFonts w:ascii="Times New Roman" w:hAnsi="Times New Roman" w:cs="Times New Roman"/>
          <w:sz w:val="24"/>
          <w:szCs w:val="24"/>
        </w:rPr>
        <w:t>de</w:t>
      </w:r>
      <w:r w:rsidRPr="00B57B6A">
        <w:rPr>
          <w:rFonts w:ascii="Times New Roman" w:hAnsi="Times New Roman" w:cs="Times New Roman"/>
          <w:sz w:val="24"/>
          <w:szCs w:val="24"/>
        </w:rPr>
        <w:t xml:space="preserve">scribes why </w:t>
      </w:r>
      <w:r w:rsidR="00CE1088" w:rsidRPr="00B57B6A">
        <w:rPr>
          <w:rFonts w:ascii="Times New Roman" w:hAnsi="Times New Roman" w:cs="Times New Roman"/>
          <w:sz w:val="24"/>
          <w:szCs w:val="24"/>
        </w:rPr>
        <w:t>insti</w:t>
      </w:r>
      <w:r w:rsidRPr="00B57B6A">
        <w:rPr>
          <w:rFonts w:ascii="Times New Roman" w:hAnsi="Times New Roman" w:cs="Times New Roman"/>
          <w:sz w:val="24"/>
          <w:szCs w:val="24"/>
        </w:rPr>
        <w:t>tutions are inherently dangerous and lead</w:t>
      </w:r>
      <w:r w:rsidR="006C01FD" w:rsidRPr="00B57B6A">
        <w:rPr>
          <w:rFonts w:ascii="Times New Roman" w:hAnsi="Times New Roman" w:cs="Times New Roman"/>
          <w:sz w:val="24"/>
          <w:szCs w:val="24"/>
        </w:rPr>
        <w:t xml:space="preserve"> to increased disability.</w:t>
      </w:r>
      <w:r w:rsidR="00A86B67" w:rsidRPr="00B57B6A">
        <w:rPr>
          <w:rFonts w:ascii="Times New Roman" w:hAnsi="Times New Roman" w:cs="Times New Roman"/>
          <w:sz w:val="24"/>
          <w:szCs w:val="24"/>
        </w:rPr>
        <w:t xml:space="preserve"> </w:t>
      </w:r>
      <w:r w:rsidR="00F340DD">
        <w:rPr>
          <w:rFonts w:ascii="Times New Roman" w:hAnsi="Times New Roman" w:cs="Times New Roman"/>
          <w:sz w:val="24"/>
          <w:szCs w:val="24"/>
        </w:rPr>
        <w:t xml:space="preserve">Part II </w:t>
      </w:r>
      <w:r w:rsidR="00AD6C36">
        <w:rPr>
          <w:rFonts w:ascii="Times New Roman" w:hAnsi="Times New Roman" w:cs="Times New Roman"/>
          <w:sz w:val="24"/>
          <w:szCs w:val="24"/>
        </w:rPr>
        <w:t xml:space="preserve">also </w:t>
      </w:r>
      <w:r w:rsidR="00F340DD">
        <w:rPr>
          <w:rFonts w:ascii="Times New Roman" w:hAnsi="Times New Roman" w:cs="Times New Roman"/>
          <w:sz w:val="24"/>
          <w:szCs w:val="24"/>
        </w:rPr>
        <w:t>describes the inconsistent</w:t>
      </w:r>
      <w:r w:rsidR="00CE1088" w:rsidRPr="00B57B6A">
        <w:rPr>
          <w:rFonts w:ascii="Times New Roman" w:hAnsi="Times New Roman" w:cs="Times New Roman"/>
          <w:sz w:val="24"/>
          <w:szCs w:val="24"/>
        </w:rPr>
        <w:t xml:space="preserve"> internat</w:t>
      </w:r>
      <w:r w:rsidRPr="00B57B6A">
        <w:rPr>
          <w:rFonts w:ascii="Times New Roman" w:hAnsi="Times New Roman" w:cs="Times New Roman"/>
          <w:sz w:val="24"/>
          <w:szCs w:val="24"/>
        </w:rPr>
        <w:t>ional response</w:t>
      </w:r>
      <w:r w:rsidR="00F340DD">
        <w:rPr>
          <w:rFonts w:ascii="Times New Roman" w:hAnsi="Times New Roman" w:cs="Times New Roman"/>
          <w:sz w:val="24"/>
          <w:szCs w:val="24"/>
        </w:rPr>
        <w:t xml:space="preserve"> to evidence about the dangers of institutions</w:t>
      </w:r>
      <w:r w:rsidR="002C6D7E" w:rsidRPr="00B57B6A">
        <w:rPr>
          <w:rFonts w:ascii="Times New Roman" w:hAnsi="Times New Roman" w:cs="Times New Roman"/>
          <w:sz w:val="24"/>
          <w:szCs w:val="24"/>
        </w:rPr>
        <w:t>. In the 2013 State of the World’s Children</w:t>
      </w:r>
      <w:r w:rsidR="00D76B31">
        <w:rPr>
          <w:rFonts w:ascii="Times New Roman" w:hAnsi="Times New Roman" w:cs="Times New Roman"/>
          <w:sz w:val="24"/>
          <w:szCs w:val="24"/>
        </w:rPr>
        <w:t xml:space="preserve"> report</w:t>
      </w:r>
      <w:r w:rsidR="002C6D7E" w:rsidRPr="00B57B6A">
        <w:rPr>
          <w:rFonts w:ascii="Times New Roman" w:hAnsi="Times New Roman" w:cs="Times New Roman"/>
          <w:sz w:val="24"/>
          <w:szCs w:val="24"/>
        </w:rPr>
        <w:t xml:space="preserve">, </w:t>
      </w:r>
      <w:r w:rsidR="001872B3">
        <w:rPr>
          <w:rFonts w:ascii="Times New Roman" w:hAnsi="Times New Roman" w:cs="Times New Roman"/>
          <w:sz w:val="24"/>
          <w:szCs w:val="24"/>
        </w:rPr>
        <w:t xml:space="preserve">for example, </w:t>
      </w:r>
      <w:r w:rsidR="001E0C68">
        <w:rPr>
          <w:rFonts w:ascii="Times New Roman" w:hAnsi="Times New Roman" w:cs="Times New Roman"/>
          <w:sz w:val="24"/>
          <w:szCs w:val="24"/>
        </w:rPr>
        <w:t>the United Nations Children’s Fund (</w:t>
      </w:r>
      <w:r w:rsidR="002C6D7E" w:rsidRPr="00B57B6A">
        <w:rPr>
          <w:rFonts w:ascii="Times New Roman" w:hAnsi="Times New Roman" w:cs="Times New Roman"/>
          <w:sz w:val="24"/>
          <w:szCs w:val="24"/>
        </w:rPr>
        <w:t>UNICEF</w:t>
      </w:r>
      <w:r w:rsidR="001E0C68">
        <w:rPr>
          <w:rFonts w:ascii="Times New Roman" w:hAnsi="Times New Roman" w:cs="Times New Roman"/>
          <w:sz w:val="24"/>
          <w:szCs w:val="24"/>
        </w:rPr>
        <w:t>)</w:t>
      </w:r>
      <w:r w:rsidR="002C6D7E" w:rsidRPr="00B57B6A">
        <w:rPr>
          <w:rFonts w:ascii="Times New Roman" w:hAnsi="Times New Roman" w:cs="Times New Roman"/>
          <w:sz w:val="24"/>
          <w:szCs w:val="24"/>
        </w:rPr>
        <w:t xml:space="preserve"> called for a</w:t>
      </w:r>
      <w:r w:rsidR="006C01FD" w:rsidRPr="00B57B6A">
        <w:rPr>
          <w:rFonts w:ascii="Times New Roman" w:hAnsi="Times New Roman" w:cs="Times New Roman"/>
          <w:sz w:val="24"/>
          <w:szCs w:val="24"/>
        </w:rPr>
        <w:t>n</w:t>
      </w:r>
      <w:r w:rsidR="002C6D7E" w:rsidRPr="00B57B6A">
        <w:rPr>
          <w:rFonts w:ascii="Times New Roman" w:hAnsi="Times New Roman" w:cs="Times New Roman"/>
          <w:sz w:val="24"/>
          <w:szCs w:val="24"/>
        </w:rPr>
        <w:t xml:space="preserve"> end to institutionalization of children throughout the world.</w:t>
      </w:r>
      <w:r w:rsidR="006C01FD" w:rsidRPr="00B57B6A">
        <w:rPr>
          <w:rFonts w:ascii="Times New Roman" w:hAnsi="Times New Roman" w:cs="Times New Roman"/>
          <w:sz w:val="24"/>
          <w:szCs w:val="24"/>
        </w:rPr>
        <w:t xml:space="preserve"> </w:t>
      </w:r>
      <w:r w:rsidR="00F340DD">
        <w:rPr>
          <w:rFonts w:ascii="Times New Roman" w:hAnsi="Times New Roman" w:cs="Times New Roman"/>
          <w:sz w:val="24"/>
          <w:szCs w:val="24"/>
        </w:rPr>
        <w:t>Some b</w:t>
      </w:r>
      <w:r w:rsidR="006C01FD" w:rsidRPr="00B57B6A">
        <w:rPr>
          <w:rFonts w:ascii="Times New Roman" w:hAnsi="Times New Roman" w:cs="Times New Roman"/>
          <w:sz w:val="24"/>
          <w:szCs w:val="24"/>
        </w:rPr>
        <w:t xml:space="preserve">ranches of UNICEF and </w:t>
      </w:r>
      <w:r w:rsidR="001E0C68">
        <w:rPr>
          <w:rFonts w:ascii="Times New Roman" w:hAnsi="Times New Roman" w:cs="Times New Roman"/>
          <w:sz w:val="24"/>
          <w:szCs w:val="24"/>
        </w:rPr>
        <w:t>the World Health Organization (</w:t>
      </w:r>
      <w:r w:rsidR="006C01FD" w:rsidRPr="00B57B6A">
        <w:rPr>
          <w:rFonts w:ascii="Times New Roman" w:hAnsi="Times New Roman" w:cs="Times New Roman"/>
          <w:sz w:val="24"/>
          <w:szCs w:val="24"/>
        </w:rPr>
        <w:t>WHO</w:t>
      </w:r>
      <w:r w:rsidR="001E0C68">
        <w:rPr>
          <w:rFonts w:ascii="Times New Roman" w:hAnsi="Times New Roman" w:cs="Times New Roman"/>
          <w:sz w:val="24"/>
          <w:szCs w:val="24"/>
        </w:rPr>
        <w:t>)</w:t>
      </w:r>
      <w:r w:rsidR="006C01FD" w:rsidRPr="00B57B6A">
        <w:rPr>
          <w:rFonts w:ascii="Times New Roman" w:hAnsi="Times New Roman" w:cs="Times New Roman"/>
          <w:sz w:val="24"/>
          <w:szCs w:val="24"/>
        </w:rPr>
        <w:t xml:space="preserve"> have</w:t>
      </w:r>
      <w:r w:rsidR="00DC2092" w:rsidRPr="00B57B6A">
        <w:rPr>
          <w:rFonts w:ascii="Times New Roman" w:hAnsi="Times New Roman" w:cs="Times New Roman"/>
          <w:sz w:val="24"/>
          <w:szCs w:val="24"/>
        </w:rPr>
        <w:t xml:space="preserve"> called for a moratorium on </w:t>
      </w:r>
      <w:r w:rsidR="006C01FD" w:rsidRPr="00B57B6A">
        <w:rPr>
          <w:rFonts w:ascii="Times New Roman" w:hAnsi="Times New Roman" w:cs="Times New Roman"/>
          <w:sz w:val="24"/>
          <w:szCs w:val="24"/>
        </w:rPr>
        <w:t>new placements of children in institutions.</w:t>
      </w:r>
      <w:r w:rsidRPr="00B57B6A">
        <w:rPr>
          <w:rFonts w:ascii="Times New Roman" w:hAnsi="Times New Roman" w:cs="Times New Roman"/>
          <w:sz w:val="24"/>
          <w:szCs w:val="24"/>
        </w:rPr>
        <w:t xml:space="preserve"> </w:t>
      </w:r>
      <w:r w:rsidR="001872B3">
        <w:rPr>
          <w:rFonts w:ascii="Times New Roman" w:hAnsi="Times New Roman" w:cs="Times New Roman"/>
          <w:sz w:val="24"/>
          <w:szCs w:val="24"/>
        </w:rPr>
        <w:t xml:space="preserve">Despite this, </w:t>
      </w:r>
      <w:r w:rsidRPr="00B57B6A">
        <w:rPr>
          <w:rFonts w:ascii="Times New Roman" w:hAnsi="Times New Roman" w:cs="Times New Roman"/>
          <w:sz w:val="24"/>
          <w:szCs w:val="24"/>
        </w:rPr>
        <w:t>donors and international charities continue to support orphanages on a large scale, resulting in increases in the orphanage population in parts of the developing world.</w:t>
      </w:r>
      <w:bookmarkStart w:id="10" w:name="_Ref471732026"/>
      <w:r w:rsidR="00334202" w:rsidRPr="00B57B6A">
        <w:rPr>
          <w:rStyle w:val="FootnoteReference"/>
          <w:rFonts w:ascii="Times New Roman" w:hAnsi="Times New Roman" w:cs="Times New Roman"/>
          <w:sz w:val="24"/>
          <w:szCs w:val="24"/>
        </w:rPr>
        <w:footnoteReference w:id="16"/>
      </w:r>
      <w:bookmarkEnd w:id="10"/>
    </w:p>
    <w:p w14:paraId="1691DA70" w14:textId="58B17314" w:rsidR="001872B3" w:rsidRDefault="000E316C"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Part III examines the legal foundations for the duty to prevent torture and to </w:t>
      </w:r>
      <w:r w:rsidR="00736C73">
        <w:rPr>
          <w:rFonts w:ascii="Times New Roman" w:hAnsi="Times New Roman" w:cs="Times New Roman"/>
          <w:sz w:val="24"/>
          <w:szCs w:val="24"/>
        </w:rPr>
        <w:t xml:space="preserve">promote community integration under CAT and the CRPD. </w:t>
      </w:r>
      <w:r w:rsidR="001872B3">
        <w:rPr>
          <w:rFonts w:ascii="Times New Roman" w:hAnsi="Times New Roman" w:cs="Times New Roman"/>
          <w:sz w:val="24"/>
          <w:szCs w:val="24"/>
        </w:rPr>
        <w:t>The duty to prevent torture goes well beyond stopping practices that actually constitute ill-treatment or torture. The</w:t>
      </w:r>
      <w:r w:rsidR="001872B3" w:rsidRPr="00B57B6A">
        <w:rPr>
          <w:rFonts w:ascii="Times New Roman" w:hAnsi="Times New Roman" w:cs="Times New Roman"/>
          <w:sz w:val="24"/>
          <w:szCs w:val="24"/>
        </w:rPr>
        <w:t xml:space="preserve"> Méndez</w:t>
      </w:r>
      <w:r w:rsidR="001872B3">
        <w:rPr>
          <w:rFonts w:ascii="Times New Roman" w:hAnsi="Times New Roman" w:cs="Times New Roman"/>
          <w:sz w:val="24"/>
          <w:szCs w:val="24"/>
        </w:rPr>
        <w:t xml:space="preserve"> Report makes clear that implementing this obligation entails creating programs to support families so that they do not need to place their children in institutions. The duty to prevent torture is consistent with the requirements of the CRPD, which protect the right of children to grow up in the community in a family environment.</w:t>
      </w:r>
    </w:p>
    <w:p w14:paraId="0F2AEECB" w14:textId="2A98B6CF" w:rsidR="001022B7" w:rsidRPr="00B57B6A" w:rsidRDefault="001022B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Part IV</w:t>
      </w:r>
      <w:r w:rsidR="00506D91" w:rsidRPr="00B57B6A">
        <w:rPr>
          <w:rFonts w:ascii="Times New Roman" w:hAnsi="Times New Roman" w:cs="Times New Roman"/>
          <w:sz w:val="24"/>
          <w:szCs w:val="24"/>
        </w:rPr>
        <w:t xml:space="preserve"> </w:t>
      </w:r>
      <w:r w:rsidR="00A9171E" w:rsidRPr="00B57B6A">
        <w:rPr>
          <w:rFonts w:ascii="Times New Roman" w:hAnsi="Times New Roman" w:cs="Times New Roman"/>
          <w:sz w:val="24"/>
          <w:szCs w:val="24"/>
        </w:rPr>
        <w:t xml:space="preserve">examines the </w:t>
      </w:r>
      <w:r w:rsidR="0018384C" w:rsidRPr="00B57B6A">
        <w:rPr>
          <w:rFonts w:ascii="Times New Roman" w:hAnsi="Times New Roman" w:cs="Times New Roman"/>
          <w:sz w:val="24"/>
          <w:szCs w:val="24"/>
        </w:rPr>
        <w:t xml:space="preserve">standard for detention or placement of children established by UN Special Rapporteur on Torture Juan </w:t>
      </w:r>
      <w:r w:rsidR="007A5B7A" w:rsidRPr="00B57B6A">
        <w:rPr>
          <w:rFonts w:ascii="Times New Roman" w:hAnsi="Times New Roman" w:cs="Times New Roman"/>
          <w:sz w:val="24"/>
          <w:szCs w:val="24"/>
        </w:rPr>
        <w:t>Méndez</w:t>
      </w:r>
      <w:r w:rsidR="001872B3">
        <w:rPr>
          <w:rFonts w:ascii="Times New Roman" w:hAnsi="Times New Roman" w:cs="Times New Roman"/>
          <w:sz w:val="24"/>
          <w:szCs w:val="24"/>
        </w:rPr>
        <w:t xml:space="preserve"> (</w:t>
      </w:r>
      <w:r w:rsidR="002B3F27">
        <w:rPr>
          <w:rFonts w:ascii="Times New Roman" w:hAnsi="Times New Roman" w:cs="Times New Roman"/>
          <w:sz w:val="24"/>
          <w:szCs w:val="24"/>
        </w:rPr>
        <w:t>referred to</w:t>
      </w:r>
      <w:r w:rsidR="001872B3">
        <w:rPr>
          <w:rFonts w:ascii="Times New Roman" w:hAnsi="Times New Roman" w:cs="Times New Roman"/>
          <w:sz w:val="24"/>
          <w:szCs w:val="24"/>
        </w:rPr>
        <w:t xml:space="preserve"> hereinafter</w:t>
      </w:r>
      <w:r w:rsidR="002B3F27">
        <w:rPr>
          <w:rFonts w:ascii="Times New Roman" w:hAnsi="Times New Roman" w:cs="Times New Roman"/>
          <w:sz w:val="24"/>
          <w:szCs w:val="24"/>
        </w:rPr>
        <w:t xml:space="preserve"> as</w:t>
      </w:r>
      <w:r w:rsidR="0018384C" w:rsidRPr="00B57B6A">
        <w:rPr>
          <w:rFonts w:ascii="Times New Roman" w:hAnsi="Times New Roman" w:cs="Times New Roman"/>
          <w:sz w:val="24"/>
          <w:szCs w:val="24"/>
        </w:rPr>
        <w:t xml:space="preserve"> the “Torture</w:t>
      </w:r>
      <w:r w:rsidR="006E7F14" w:rsidRPr="00B57B6A">
        <w:rPr>
          <w:rFonts w:ascii="Times New Roman" w:hAnsi="Times New Roman" w:cs="Times New Roman"/>
          <w:sz w:val="24"/>
          <w:szCs w:val="24"/>
        </w:rPr>
        <w:t xml:space="preserve"> </w:t>
      </w:r>
      <w:r w:rsidR="00373912">
        <w:rPr>
          <w:rFonts w:ascii="Times New Roman" w:hAnsi="Times New Roman" w:cs="Times New Roman"/>
          <w:sz w:val="24"/>
          <w:szCs w:val="24"/>
        </w:rPr>
        <w:t>S</w:t>
      </w:r>
      <w:r w:rsidR="00D5045A">
        <w:rPr>
          <w:rFonts w:ascii="Times New Roman" w:hAnsi="Times New Roman" w:cs="Times New Roman"/>
          <w:sz w:val="24"/>
          <w:szCs w:val="24"/>
        </w:rPr>
        <w:t>tandard</w:t>
      </w:r>
      <w:r w:rsidR="00373912">
        <w:rPr>
          <w:rFonts w:ascii="Times New Roman" w:hAnsi="Times New Roman" w:cs="Times New Roman"/>
          <w:sz w:val="24"/>
          <w:szCs w:val="24"/>
        </w:rPr>
        <w:t>”</w:t>
      </w:r>
      <w:r w:rsidR="0018384C" w:rsidRPr="00B57B6A">
        <w:rPr>
          <w:rFonts w:ascii="Times New Roman" w:hAnsi="Times New Roman" w:cs="Times New Roman"/>
          <w:sz w:val="24"/>
          <w:szCs w:val="24"/>
        </w:rPr>
        <w:t>)</w:t>
      </w:r>
      <w:r w:rsidR="002C6D7E" w:rsidRPr="00B57B6A">
        <w:rPr>
          <w:rFonts w:ascii="Times New Roman" w:hAnsi="Times New Roman" w:cs="Times New Roman"/>
          <w:sz w:val="24"/>
          <w:szCs w:val="24"/>
        </w:rPr>
        <w:t xml:space="preserve">. </w:t>
      </w:r>
      <w:r w:rsidR="003362EE">
        <w:rPr>
          <w:rFonts w:ascii="Times New Roman" w:hAnsi="Times New Roman" w:cs="Times New Roman"/>
          <w:sz w:val="24"/>
          <w:szCs w:val="24"/>
        </w:rPr>
        <w:t>This section examines t</w:t>
      </w:r>
      <w:r w:rsidR="002C6D7E" w:rsidRPr="00B57B6A">
        <w:rPr>
          <w:rFonts w:ascii="Times New Roman" w:hAnsi="Times New Roman" w:cs="Times New Roman"/>
          <w:sz w:val="24"/>
          <w:szCs w:val="24"/>
        </w:rPr>
        <w:t>h</w:t>
      </w:r>
      <w:r w:rsidR="003362EE">
        <w:rPr>
          <w:rFonts w:ascii="Times New Roman" w:hAnsi="Times New Roman" w:cs="Times New Roman"/>
          <w:sz w:val="24"/>
          <w:szCs w:val="24"/>
        </w:rPr>
        <w:t xml:space="preserve">e exact requirements of the Torture Standard and why it is </w:t>
      </w:r>
      <w:r w:rsidR="0018384C" w:rsidRPr="00B57B6A">
        <w:rPr>
          <w:rFonts w:ascii="Times New Roman" w:hAnsi="Times New Roman" w:cs="Times New Roman"/>
          <w:sz w:val="24"/>
          <w:szCs w:val="24"/>
        </w:rPr>
        <w:t>stronger than the protection</w:t>
      </w:r>
      <w:r w:rsidR="001872B3">
        <w:rPr>
          <w:rFonts w:ascii="Times New Roman" w:hAnsi="Times New Roman" w:cs="Times New Roman"/>
          <w:sz w:val="24"/>
          <w:szCs w:val="24"/>
        </w:rPr>
        <w:t xml:space="preserve">s </w:t>
      </w:r>
      <w:r w:rsidR="0018384C" w:rsidRPr="00B57B6A">
        <w:rPr>
          <w:rFonts w:ascii="Times New Roman" w:hAnsi="Times New Roman" w:cs="Times New Roman"/>
          <w:sz w:val="24"/>
          <w:szCs w:val="24"/>
        </w:rPr>
        <w:t>established by the UN Committee on the Rights of the</w:t>
      </w:r>
      <w:r w:rsidR="00A9171E" w:rsidRPr="00B57B6A">
        <w:rPr>
          <w:rFonts w:ascii="Times New Roman" w:hAnsi="Times New Roman" w:cs="Times New Roman"/>
          <w:sz w:val="24"/>
          <w:szCs w:val="24"/>
        </w:rPr>
        <w:t xml:space="preserve"> Child</w:t>
      </w:r>
      <w:r w:rsidR="0018384C" w:rsidRPr="00B57B6A">
        <w:rPr>
          <w:rFonts w:ascii="Times New Roman" w:hAnsi="Times New Roman" w:cs="Times New Roman"/>
          <w:sz w:val="24"/>
          <w:szCs w:val="24"/>
        </w:rPr>
        <w:t xml:space="preserve"> </w:t>
      </w:r>
      <w:r w:rsidR="00A9171E" w:rsidRPr="00B57B6A">
        <w:rPr>
          <w:rFonts w:ascii="Times New Roman" w:hAnsi="Times New Roman" w:cs="Times New Roman"/>
          <w:sz w:val="24"/>
          <w:szCs w:val="24"/>
        </w:rPr>
        <w:t>in General Comment #9</w:t>
      </w:r>
      <w:r w:rsidR="003362EE">
        <w:rPr>
          <w:rFonts w:ascii="Times New Roman" w:hAnsi="Times New Roman" w:cs="Times New Roman"/>
          <w:sz w:val="24"/>
          <w:szCs w:val="24"/>
        </w:rPr>
        <w:t xml:space="preserve">.  </w:t>
      </w:r>
      <w:r w:rsidR="00A9171E" w:rsidRPr="00B57B6A">
        <w:rPr>
          <w:rFonts w:ascii="Times New Roman" w:hAnsi="Times New Roman" w:cs="Times New Roman"/>
          <w:sz w:val="24"/>
          <w:szCs w:val="24"/>
        </w:rPr>
        <w:t>General Comment #9</w:t>
      </w:r>
      <w:r w:rsidR="00734F46" w:rsidRPr="00B57B6A">
        <w:rPr>
          <w:rFonts w:ascii="Times New Roman" w:hAnsi="Times New Roman" w:cs="Times New Roman"/>
          <w:sz w:val="24"/>
          <w:szCs w:val="24"/>
        </w:rPr>
        <w:t xml:space="preserve"> </w:t>
      </w:r>
      <w:r w:rsidR="00A9171E" w:rsidRPr="00B57B6A">
        <w:rPr>
          <w:rFonts w:ascii="Times New Roman" w:hAnsi="Times New Roman" w:cs="Times New Roman"/>
          <w:sz w:val="24"/>
          <w:szCs w:val="24"/>
        </w:rPr>
        <w:t>limits</w:t>
      </w:r>
      <w:r w:rsidR="0018384C" w:rsidRPr="00B57B6A">
        <w:rPr>
          <w:rFonts w:ascii="Times New Roman" w:hAnsi="Times New Roman" w:cs="Times New Roman"/>
          <w:sz w:val="24"/>
          <w:szCs w:val="24"/>
        </w:rPr>
        <w:t xml:space="preserve"> </w:t>
      </w:r>
      <w:r w:rsidR="00A9171E" w:rsidRPr="00B57B6A">
        <w:rPr>
          <w:rFonts w:ascii="Times New Roman" w:hAnsi="Times New Roman" w:cs="Times New Roman"/>
          <w:sz w:val="24"/>
          <w:szCs w:val="24"/>
        </w:rPr>
        <w:t>the institutional placement of children to the last resort, and only when it is in</w:t>
      </w:r>
      <w:r w:rsidR="001872B3">
        <w:rPr>
          <w:rFonts w:ascii="Times New Roman" w:hAnsi="Times New Roman" w:cs="Times New Roman"/>
          <w:sz w:val="24"/>
          <w:szCs w:val="24"/>
        </w:rPr>
        <w:t xml:space="preserve"> the best interest of the child. B</w:t>
      </w:r>
      <w:r w:rsidR="00A9171E" w:rsidRPr="00B57B6A">
        <w:rPr>
          <w:rFonts w:ascii="Times New Roman" w:hAnsi="Times New Roman" w:cs="Times New Roman"/>
          <w:sz w:val="24"/>
          <w:szCs w:val="24"/>
        </w:rPr>
        <w:t xml:space="preserve">ut </w:t>
      </w:r>
      <w:r w:rsidR="006D4F45">
        <w:rPr>
          <w:rFonts w:ascii="Times New Roman" w:hAnsi="Times New Roman" w:cs="Times New Roman"/>
          <w:sz w:val="24"/>
          <w:szCs w:val="24"/>
        </w:rPr>
        <w:t xml:space="preserve">General Comment #9 </w:t>
      </w:r>
      <w:r w:rsidR="00A9171E" w:rsidRPr="00B57B6A">
        <w:rPr>
          <w:rFonts w:ascii="Times New Roman" w:hAnsi="Times New Roman" w:cs="Times New Roman"/>
          <w:sz w:val="24"/>
          <w:szCs w:val="24"/>
        </w:rPr>
        <w:t xml:space="preserve">places </w:t>
      </w:r>
      <w:r w:rsidR="0018384C" w:rsidRPr="00B57B6A">
        <w:rPr>
          <w:rFonts w:ascii="Times New Roman" w:hAnsi="Times New Roman" w:cs="Times New Roman"/>
          <w:sz w:val="24"/>
          <w:szCs w:val="24"/>
        </w:rPr>
        <w:t>no time limitation or requirement that placement be in the</w:t>
      </w:r>
      <w:r w:rsidR="00A9171E" w:rsidRPr="00B57B6A">
        <w:rPr>
          <w:rFonts w:ascii="Times New Roman" w:hAnsi="Times New Roman" w:cs="Times New Roman"/>
          <w:sz w:val="24"/>
          <w:szCs w:val="24"/>
        </w:rPr>
        <w:t xml:space="preserve"> least restrictive environment</w:t>
      </w:r>
      <w:r w:rsidR="00506D91" w:rsidRPr="00B57B6A">
        <w:rPr>
          <w:rFonts w:ascii="Times New Roman" w:hAnsi="Times New Roman" w:cs="Times New Roman"/>
          <w:sz w:val="24"/>
          <w:szCs w:val="24"/>
        </w:rPr>
        <w:t xml:space="preserve">. </w:t>
      </w:r>
      <w:r w:rsidR="003362EE">
        <w:rPr>
          <w:rFonts w:ascii="Times New Roman" w:hAnsi="Times New Roman" w:cs="Times New Roman"/>
          <w:sz w:val="24"/>
          <w:szCs w:val="24"/>
        </w:rPr>
        <w:t>B</w:t>
      </w:r>
      <w:r w:rsidR="006E7F14" w:rsidRPr="00B57B6A">
        <w:rPr>
          <w:rFonts w:ascii="Times New Roman" w:hAnsi="Times New Roman" w:cs="Times New Roman"/>
          <w:sz w:val="24"/>
          <w:szCs w:val="24"/>
        </w:rPr>
        <w:t xml:space="preserve">y adding </w:t>
      </w:r>
      <w:r w:rsidR="003362EE">
        <w:rPr>
          <w:rFonts w:ascii="Times New Roman" w:hAnsi="Times New Roman" w:cs="Times New Roman"/>
          <w:sz w:val="24"/>
          <w:szCs w:val="24"/>
        </w:rPr>
        <w:t xml:space="preserve">a time limitation, the Torture Standard </w:t>
      </w:r>
      <w:r w:rsidR="00506D91" w:rsidRPr="00B57B6A">
        <w:rPr>
          <w:rFonts w:ascii="Times New Roman" w:hAnsi="Times New Roman" w:cs="Times New Roman"/>
          <w:sz w:val="24"/>
          <w:szCs w:val="24"/>
        </w:rPr>
        <w:t>effectively bars</w:t>
      </w:r>
      <w:r w:rsidR="002C6D7E" w:rsidRPr="00B57B6A">
        <w:rPr>
          <w:rFonts w:ascii="Times New Roman" w:hAnsi="Times New Roman" w:cs="Times New Roman"/>
          <w:sz w:val="24"/>
          <w:szCs w:val="24"/>
        </w:rPr>
        <w:t xml:space="preserve"> </w:t>
      </w:r>
      <w:r w:rsidR="00A9171E" w:rsidRPr="00B57B6A">
        <w:rPr>
          <w:rFonts w:ascii="Times New Roman" w:hAnsi="Times New Roman" w:cs="Times New Roman"/>
          <w:sz w:val="24"/>
          <w:szCs w:val="24"/>
        </w:rPr>
        <w:t>long-term placement of children in institutions</w:t>
      </w:r>
      <w:r w:rsidR="00DC2092" w:rsidRPr="00B57B6A">
        <w:rPr>
          <w:rFonts w:ascii="Times New Roman" w:hAnsi="Times New Roman" w:cs="Times New Roman"/>
          <w:sz w:val="24"/>
          <w:szCs w:val="24"/>
        </w:rPr>
        <w:t xml:space="preserve">.  </w:t>
      </w:r>
    </w:p>
    <w:p w14:paraId="0931098E" w14:textId="765A85F1" w:rsidR="00A9171E" w:rsidRPr="00B57B6A" w:rsidRDefault="00DC2092"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While</w:t>
      </w:r>
      <w:r w:rsidR="00165F1D" w:rsidRPr="00B57B6A">
        <w:rPr>
          <w:rFonts w:ascii="Times New Roman" w:hAnsi="Times New Roman" w:cs="Times New Roman"/>
          <w:sz w:val="24"/>
          <w:szCs w:val="24"/>
        </w:rPr>
        <w:t xml:space="preserve"> short-term</w:t>
      </w:r>
      <w:r w:rsidRPr="00B57B6A">
        <w:rPr>
          <w:rFonts w:ascii="Times New Roman" w:hAnsi="Times New Roman" w:cs="Times New Roman"/>
          <w:sz w:val="24"/>
          <w:szCs w:val="24"/>
        </w:rPr>
        <w:t xml:space="preserve"> in-patient care</w:t>
      </w:r>
      <w:r w:rsidR="002C6D7E" w:rsidRPr="00B57B6A">
        <w:rPr>
          <w:rFonts w:ascii="Times New Roman" w:hAnsi="Times New Roman" w:cs="Times New Roman"/>
          <w:sz w:val="24"/>
          <w:szCs w:val="24"/>
        </w:rPr>
        <w:t xml:space="preserve"> may be needed</w:t>
      </w:r>
      <w:r w:rsidR="00165F1D" w:rsidRPr="00B57B6A">
        <w:rPr>
          <w:rFonts w:ascii="Times New Roman" w:hAnsi="Times New Roman" w:cs="Times New Roman"/>
          <w:sz w:val="24"/>
          <w:szCs w:val="24"/>
        </w:rPr>
        <w:t xml:space="preserve"> f</w:t>
      </w:r>
      <w:r w:rsidRPr="00B57B6A">
        <w:rPr>
          <w:rFonts w:ascii="Times New Roman" w:hAnsi="Times New Roman" w:cs="Times New Roman"/>
          <w:sz w:val="24"/>
          <w:szCs w:val="24"/>
        </w:rPr>
        <w:t>or medical or mental health reasons</w:t>
      </w:r>
      <w:r w:rsidR="00A86B67" w:rsidRPr="00B57B6A">
        <w:rPr>
          <w:rFonts w:ascii="Times New Roman" w:hAnsi="Times New Roman" w:cs="Times New Roman"/>
          <w:sz w:val="24"/>
          <w:szCs w:val="24"/>
        </w:rPr>
        <w:t xml:space="preserve">, long-term placement in an institution </w:t>
      </w:r>
      <w:r w:rsidR="001022B7" w:rsidRPr="00B57B6A">
        <w:rPr>
          <w:rFonts w:ascii="Times New Roman" w:hAnsi="Times New Roman" w:cs="Times New Roman"/>
          <w:sz w:val="24"/>
          <w:szCs w:val="24"/>
        </w:rPr>
        <w:t>can be brought to an end</w:t>
      </w:r>
      <w:r w:rsidR="00A86B67" w:rsidRPr="00B57B6A">
        <w:rPr>
          <w:rFonts w:ascii="Times New Roman" w:hAnsi="Times New Roman" w:cs="Times New Roman"/>
          <w:sz w:val="24"/>
          <w:szCs w:val="24"/>
        </w:rPr>
        <w:t>.</w:t>
      </w:r>
      <w:r w:rsidR="00A86B67" w:rsidRPr="00B57B6A">
        <w:rPr>
          <w:rStyle w:val="FootnoteReference"/>
          <w:rFonts w:ascii="Times New Roman" w:hAnsi="Times New Roman" w:cs="Times New Roman"/>
          <w:sz w:val="24"/>
          <w:szCs w:val="24"/>
        </w:rPr>
        <w:footnoteReference w:id="17"/>
      </w:r>
      <w:r w:rsidR="00A86B67" w:rsidRPr="00B57B6A">
        <w:rPr>
          <w:rFonts w:ascii="Times New Roman" w:hAnsi="Times New Roman" w:cs="Times New Roman"/>
          <w:sz w:val="24"/>
          <w:szCs w:val="24"/>
        </w:rPr>
        <w:t xml:space="preserve"> Many countries have phased out </w:t>
      </w:r>
      <w:r w:rsidR="003B5969">
        <w:rPr>
          <w:rFonts w:ascii="Times New Roman" w:hAnsi="Times New Roman" w:cs="Times New Roman"/>
          <w:sz w:val="24"/>
          <w:szCs w:val="24"/>
        </w:rPr>
        <w:t xml:space="preserve">long-term </w:t>
      </w:r>
      <w:r w:rsidR="00A86B67" w:rsidRPr="00B57B6A">
        <w:rPr>
          <w:rFonts w:ascii="Times New Roman" w:hAnsi="Times New Roman" w:cs="Times New Roman"/>
          <w:sz w:val="24"/>
          <w:szCs w:val="24"/>
        </w:rPr>
        <w:t>institutional care for children and more are doing so.</w:t>
      </w:r>
      <w:bookmarkStart w:id="11" w:name="_Ref464126366"/>
      <w:r w:rsidR="00A86B67" w:rsidRPr="00B57B6A">
        <w:rPr>
          <w:rStyle w:val="FootnoteReference"/>
          <w:rFonts w:ascii="Times New Roman" w:hAnsi="Times New Roman" w:cs="Times New Roman"/>
          <w:sz w:val="24"/>
          <w:szCs w:val="24"/>
        </w:rPr>
        <w:footnoteReference w:id="18"/>
      </w:r>
      <w:bookmarkEnd w:id="11"/>
      <w:r w:rsidR="00A86B67" w:rsidRPr="00B57B6A">
        <w:rPr>
          <w:rFonts w:ascii="Times New Roman" w:hAnsi="Times New Roman" w:cs="Times New Roman"/>
          <w:sz w:val="24"/>
          <w:szCs w:val="24"/>
        </w:rPr>
        <w:t xml:space="preserve"> </w:t>
      </w:r>
      <w:r w:rsidR="003362EE">
        <w:rPr>
          <w:rFonts w:ascii="Times New Roman" w:hAnsi="Times New Roman" w:cs="Times New Roman"/>
          <w:sz w:val="24"/>
          <w:szCs w:val="24"/>
        </w:rPr>
        <w:t xml:space="preserve">Part III also describes how the </w:t>
      </w:r>
      <w:r w:rsidR="006E7F14" w:rsidRPr="00B57B6A">
        <w:rPr>
          <w:rFonts w:ascii="Times New Roman" w:hAnsi="Times New Roman" w:cs="Times New Roman"/>
          <w:sz w:val="24"/>
          <w:szCs w:val="24"/>
        </w:rPr>
        <w:lastRenderedPageBreak/>
        <w:t xml:space="preserve">Torture </w:t>
      </w:r>
      <w:r w:rsidR="00373912">
        <w:rPr>
          <w:rFonts w:ascii="Times New Roman" w:hAnsi="Times New Roman" w:cs="Times New Roman"/>
          <w:sz w:val="24"/>
          <w:szCs w:val="24"/>
        </w:rPr>
        <w:t xml:space="preserve">Standard </w:t>
      </w:r>
      <w:r w:rsidR="007F5518" w:rsidRPr="00B57B6A">
        <w:rPr>
          <w:rFonts w:ascii="Times New Roman" w:hAnsi="Times New Roman" w:cs="Times New Roman"/>
          <w:sz w:val="24"/>
          <w:szCs w:val="24"/>
        </w:rPr>
        <w:t xml:space="preserve">strengthens the influential </w:t>
      </w:r>
      <w:r w:rsidR="006F37EF">
        <w:rPr>
          <w:rFonts w:ascii="Times New Roman" w:hAnsi="Times New Roman" w:cs="Times New Roman"/>
          <w:sz w:val="24"/>
          <w:szCs w:val="24"/>
        </w:rPr>
        <w:t>UN</w:t>
      </w:r>
      <w:r w:rsidR="007F5518" w:rsidRPr="00B57B6A">
        <w:rPr>
          <w:rFonts w:ascii="Times New Roman" w:hAnsi="Times New Roman" w:cs="Times New Roman"/>
          <w:sz w:val="24"/>
          <w:szCs w:val="24"/>
        </w:rPr>
        <w:t xml:space="preserve"> “Guidelines for the Alternative Care of Children</w:t>
      </w:r>
      <w:r w:rsidR="003B5969">
        <w:rPr>
          <w:rFonts w:ascii="Times New Roman" w:hAnsi="Times New Roman" w:cs="Times New Roman"/>
          <w:sz w:val="24"/>
          <w:szCs w:val="24"/>
        </w:rPr>
        <w:t>.</w:t>
      </w:r>
      <w:r w:rsidR="007F5518" w:rsidRPr="00B57B6A">
        <w:rPr>
          <w:rFonts w:ascii="Times New Roman" w:hAnsi="Times New Roman" w:cs="Times New Roman"/>
          <w:sz w:val="24"/>
          <w:szCs w:val="24"/>
        </w:rPr>
        <w:t>”</w:t>
      </w:r>
      <w:bookmarkStart w:id="12" w:name="_Ref471732478"/>
      <w:r w:rsidR="003B5969">
        <w:rPr>
          <w:rStyle w:val="FootnoteReference"/>
          <w:rFonts w:ascii="Times New Roman" w:hAnsi="Times New Roman" w:cs="Times New Roman"/>
          <w:sz w:val="24"/>
          <w:szCs w:val="24"/>
        </w:rPr>
        <w:footnoteReference w:id="19"/>
      </w:r>
      <w:bookmarkEnd w:id="12"/>
      <w:r w:rsidR="007F5518" w:rsidRPr="00B57B6A">
        <w:rPr>
          <w:rFonts w:ascii="Times New Roman" w:hAnsi="Times New Roman" w:cs="Times New Roman"/>
          <w:sz w:val="24"/>
          <w:szCs w:val="24"/>
        </w:rPr>
        <w:t xml:space="preserve"> </w:t>
      </w:r>
      <w:r w:rsidR="003B5969">
        <w:rPr>
          <w:rFonts w:ascii="Times New Roman" w:hAnsi="Times New Roman" w:cs="Times New Roman"/>
          <w:sz w:val="24"/>
          <w:szCs w:val="24"/>
        </w:rPr>
        <w:t>The Guidelines</w:t>
      </w:r>
      <w:r w:rsidR="007F5518" w:rsidRPr="00B57B6A">
        <w:rPr>
          <w:rFonts w:ascii="Times New Roman" w:hAnsi="Times New Roman" w:cs="Times New Roman"/>
          <w:sz w:val="24"/>
          <w:szCs w:val="24"/>
        </w:rPr>
        <w:t xml:space="preserve"> now require that governments plan for the elimination of institutions</w:t>
      </w:r>
      <w:r w:rsidR="006D4F45">
        <w:rPr>
          <w:rFonts w:ascii="Times New Roman" w:hAnsi="Times New Roman" w:cs="Times New Roman"/>
          <w:sz w:val="24"/>
          <w:szCs w:val="24"/>
        </w:rPr>
        <w:t xml:space="preserve"> – but they do</w:t>
      </w:r>
      <w:r w:rsidR="003B5969">
        <w:rPr>
          <w:rFonts w:ascii="Times New Roman" w:hAnsi="Times New Roman" w:cs="Times New Roman"/>
          <w:sz w:val="24"/>
          <w:szCs w:val="24"/>
        </w:rPr>
        <w:t xml:space="preserve"> not stop long-ter</w:t>
      </w:r>
      <w:r w:rsidR="006D4F45">
        <w:rPr>
          <w:rFonts w:ascii="Times New Roman" w:hAnsi="Times New Roman" w:cs="Times New Roman"/>
          <w:sz w:val="24"/>
          <w:szCs w:val="24"/>
        </w:rPr>
        <w:t>m placements in institutions or</w:t>
      </w:r>
      <w:r w:rsidR="008B635C">
        <w:rPr>
          <w:rFonts w:ascii="Times New Roman" w:hAnsi="Times New Roman" w:cs="Times New Roman"/>
          <w:sz w:val="24"/>
          <w:szCs w:val="24"/>
        </w:rPr>
        <w:t xml:space="preserve"> “</w:t>
      </w:r>
      <w:r w:rsidR="003B5969">
        <w:rPr>
          <w:rFonts w:ascii="Times New Roman" w:hAnsi="Times New Roman" w:cs="Times New Roman"/>
          <w:sz w:val="24"/>
          <w:szCs w:val="24"/>
        </w:rPr>
        <w:t>residential care</w:t>
      </w:r>
      <w:r w:rsidR="006D4F45">
        <w:rPr>
          <w:rFonts w:ascii="Times New Roman" w:hAnsi="Times New Roman" w:cs="Times New Roman"/>
          <w:sz w:val="24"/>
          <w:szCs w:val="24"/>
        </w:rPr>
        <w:t>.</w:t>
      </w:r>
      <w:r w:rsidR="008B635C">
        <w:rPr>
          <w:rFonts w:ascii="Times New Roman" w:hAnsi="Times New Roman" w:cs="Times New Roman"/>
          <w:sz w:val="24"/>
          <w:szCs w:val="24"/>
        </w:rPr>
        <w:t>”</w:t>
      </w:r>
      <w:bookmarkStart w:id="13" w:name="_Ref464223651"/>
      <w:r w:rsidR="008822CD" w:rsidRPr="00B57B6A">
        <w:rPr>
          <w:rStyle w:val="FootnoteReference"/>
          <w:rFonts w:ascii="Times New Roman" w:hAnsi="Times New Roman" w:cs="Times New Roman"/>
          <w:sz w:val="24"/>
          <w:szCs w:val="24"/>
        </w:rPr>
        <w:footnoteReference w:id="20"/>
      </w:r>
      <w:bookmarkEnd w:id="13"/>
      <w:r w:rsidR="007F5518" w:rsidRPr="00B57B6A">
        <w:rPr>
          <w:rFonts w:ascii="Times New Roman" w:hAnsi="Times New Roman" w:cs="Times New Roman"/>
          <w:sz w:val="24"/>
          <w:szCs w:val="24"/>
        </w:rPr>
        <w:t xml:space="preserve"> </w:t>
      </w:r>
    </w:p>
    <w:p w14:paraId="73C46166" w14:textId="6F4F3969" w:rsidR="00ED2092" w:rsidRDefault="006E4E42" w:rsidP="00797636">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Part V </w:t>
      </w:r>
      <w:r w:rsidR="001022B7" w:rsidRPr="00B57B6A">
        <w:rPr>
          <w:rFonts w:ascii="Times New Roman" w:hAnsi="Times New Roman" w:cs="Times New Roman"/>
          <w:sz w:val="24"/>
          <w:szCs w:val="24"/>
        </w:rPr>
        <w:t xml:space="preserve">describes the evolution of protections against torture </w:t>
      </w:r>
      <w:r w:rsidR="003362EE">
        <w:rPr>
          <w:rFonts w:ascii="Times New Roman" w:hAnsi="Times New Roman" w:cs="Times New Roman"/>
          <w:sz w:val="24"/>
          <w:szCs w:val="24"/>
        </w:rPr>
        <w:t xml:space="preserve">or ill-treatment </w:t>
      </w:r>
      <w:r w:rsidR="001022B7" w:rsidRPr="00B57B6A">
        <w:rPr>
          <w:rFonts w:ascii="Times New Roman" w:hAnsi="Times New Roman" w:cs="Times New Roman"/>
          <w:sz w:val="24"/>
          <w:szCs w:val="24"/>
        </w:rPr>
        <w:t>in the context of</w:t>
      </w:r>
      <w:r w:rsidR="003362EE">
        <w:rPr>
          <w:rFonts w:ascii="Times New Roman" w:hAnsi="Times New Roman" w:cs="Times New Roman"/>
          <w:sz w:val="24"/>
          <w:szCs w:val="24"/>
        </w:rPr>
        <w:t xml:space="preserve"> mental health and soc</w:t>
      </w:r>
      <w:r w:rsidR="00F340DD">
        <w:rPr>
          <w:rFonts w:ascii="Times New Roman" w:hAnsi="Times New Roman" w:cs="Times New Roman"/>
          <w:sz w:val="24"/>
          <w:szCs w:val="24"/>
        </w:rPr>
        <w:t xml:space="preserve">ial care. </w:t>
      </w:r>
      <w:r w:rsidR="001A70FF">
        <w:rPr>
          <w:rFonts w:ascii="Times New Roman" w:hAnsi="Times New Roman" w:cs="Times New Roman"/>
          <w:sz w:val="24"/>
          <w:szCs w:val="24"/>
        </w:rPr>
        <w:t xml:space="preserve">International law prohibits torture </w:t>
      </w:r>
      <w:r w:rsidR="00797636">
        <w:rPr>
          <w:rFonts w:ascii="Times New Roman" w:hAnsi="Times New Roman" w:cs="Times New Roman"/>
          <w:sz w:val="24"/>
          <w:szCs w:val="24"/>
        </w:rPr>
        <w:t>as well as “cruel, inhuman or degrading treatment or punishment” (referred to collectively as “torture or ill-treatment</w:t>
      </w:r>
      <w:r w:rsidR="000B54E4">
        <w:rPr>
          <w:rFonts w:ascii="Times New Roman" w:hAnsi="Times New Roman" w:cs="Times New Roman"/>
          <w:sz w:val="24"/>
          <w:szCs w:val="24"/>
        </w:rPr>
        <w:t>”</w:t>
      </w:r>
      <w:r w:rsidR="00797636">
        <w:rPr>
          <w:rFonts w:ascii="Times New Roman" w:hAnsi="Times New Roman" w:cs="Times New Roman"/>
          <w:sz w:val="24"/>
          <w:szCs w:val="24"/>
        </w:rPr>
        <w:t>). The definition of torture is narrower than the protection against ill-treatment, requiring a showing of intent and purpose. B</w:t>
      </w:r>
      <w:r w:rsidR="006D4F45">
        <w:rPr>
          <w:rFonts w:ascii="Times New Roman" w:hAnsi="Times New Roman" w:cs="Times New Roman"/>
          <w:sz w:val="24"/>
          <w:szCs w:val="24"/>
        </w:rPr>
        <w:t>ut the prohibition of both torture and</w:t>
      </w:r>
      <w:r w:rsidR="00797636">
        <w:rPr>
          <w:rFonts w:ascii="Times New Roman" w:hAnsi="Times New Roman" w:cs="Times New Roman"/>
          <w:sz w:val="24"/>
          <w:szCs w:val="24"/>
        </w:rPr>
        <w:t xml:space="preserve"> ill-treatment is u</w:t>
      </w:r>
      <w:r w:rsidR="00856580">
        <w:rPr>
          <w:rFonts w:ascii="Times New Roman" w:hAnsi="Times New Roman" w:cs="Times New Roman"/>
          <w:sz w:val="24"/>
          <w:szCs w:val="24"/>
        </w:rPr>
        <w:t>niversal and without exception.</w:t>
      </w:r>
      <w:r w:rsidR="00797636">
        <w:rPr>
          <w:rFonts w:ascii="Times New Roman" w:hAnsi="Times New Roman" w:cs="Times New Roman"/>
          <w:sz w:val="24"/>
          <w:szCs w:val="24"/>
        </w:rPr>
        <w:t xml:space="preserve"> </w:t>
      </w:r>
      <w:r w:rsidR="006D4F45">
        <w:rPr>
          <w:rFonts w:ascii="Times New Roman" w:hAnsi="Times New Roman" w:cs="Times New Roman"/>
          <w:sz w:val="24"/>
          <w:szCs w:val="24"/>
        </w:rPr>
        <w:t>Whether a practice constitutes torture or ill-treatment, f</w:t>
      </w:r>
      <w:r w:rsidR="001A70FF">
        <w:rPr>
          <w:rFonts w:ascii="Times New Roman" w:hAnsi="Times New Roman" w:cs="Times New Roman"/>
          <w:sz w:val="24"/>
          <w:szCs w:val="24"/>
        </w:rPr>
        <w:t xml:space="preserve">inancial </w:t>
      </w:r>
      <w:r w:rsidR="00797636">
        <w:rPr>
          <w:rFonts w:ascii="Times New Roman" w:hAnsi="Times New Roman" w:cs="Times New Roman"/>
          <w:sz w:val="24"/>
          <w:szCs w:val="24"/>
        </w:rPr>
        <w:t>limitations of governments or social service agencies cannot be used to j</w:t>
      </w:r>
      <w:r w:rsidR="006D4F45">
        <w:rPr>
          <w:rFonts w:ascii="Times New Roman" w:hAnsi="Times New Roman" w:cs="Times New Roman"/>
          <w:sz w:val="24"/>
          <w:szCs w:val="24"/>
        </w:rPr>
        <w:t>ustify any delay in allowing such human rights violations to persist.</w:t>
      </w:r>
    </w:p>
    <w:p w14:paraId="7CCB5BE6" w14:textId="241E4BC9" w:rsidR="00ED2092" w:rsidRDefault="006D4F45" w:rsidP="00797636">
      <w:pPr>
        <w:spacing w:line="240" w:lineRule="auto"/>
        <w:jc w:val="both"/>
        <w:rPr>
          <w:rFonts w:ascii="Times New Roman" w:hAnsi="Times New Roman" w:cs="Times New Roman"/>
          <w:sz w:val="24"/>
          <w:szCs w:val="24"/>
        </w:rPr>
      </w:pPr>
      <w:r>
        <w:rPr>
          <w:rFonts w:ascii="Times New Roman" w:hAnsi="Times New Roman" w:cs="Times New Roman"/>
          <w:sz w:val="24"/>
          <w:szCs w:val="24"/>
        </w:rPr>
        <w:t>Despite the powerful obligation on governments to prohibit and prevent torture</w:t>
      </w:r>
      <w:r w:rsidR="00D27D43" w:rsidRPr="00B57B6A">
        <w:rPr>
          <w:rFonts w:ascii="Times New Roman" w:hAnsi="Times New Roman" w:cs="Times New Roman"/>
          <w:sz w:val="24"/>
          <w:szCs w:val="24"/>
        </w:rPr>
        <w:t xml:space="preserve">, the international human rights community has been hesitant to </w:t>
      </w:r>
      <w:r w:rsidR="00797636">
        <w:rPr>
          <w:rFonts w:ascii="Times New Roman" w:hAnsi="Times New Roman" w:cs="Times New Roman"/>
          <w:sz w:val="24"/>
          <w:szCs w:val="24"/>
        </w:rPr>
        <w:t>identify practices as torture</w:t>
      </w:r>
      <w:r>
        <w:rPr>
          <w:rFonts w:ascii="Times New Roman" w:hAnsi="Times New Roman" w:cs="Times New Roman"/>
          <w:sz w:val="24"/>
          <w:szCs w:val="24"/>
        </w:rPr>
        <w:t xml:space="preserve"> in the context of health or social care</w:t>
      </w:r>
      <w:r w:rsidR="00797636">
        <w:rPr>
          <w:rFonts w:ascii="Times New Roman" w:hAnsi="Times New Roman" w:cs="Times New Roman"/>
          <w:sz w:val="24"/>
          <w:szCs w:val="24"/>
        </w:rPr>
        <w:t>.</w:t>
      </w:r>
      <w:r w:rsidR="00ED2092">
        <w:rPr>
          <w:rFonts w:ascii="Times New Roman" w:hAnsi="Times New Roman" w:cs="Times New Roman"/>
          <w:sz w:val="24"/>
          <w:szCs w:val="24"/>
        </w:rPr>
        <w:t xml:space="preserve"> </w:t>
      </w:r>
      <w:r w:rsidR="000B54E4">
        <w:rPr>
          <w:rFonts w:ascii="Times New Roman" w:hAnsi="Times New Roman" w:cs="Times New Roman"/>
          <w:sz w:val="24"/>
          <w:szCs w:val="24"/>
        </w:rPr>
        <w:t xml:space="preserve">In addition to broad deference to medical authority, there has long been an assumption that practices cannot constitute ill-treatment or torture if they are well-meaning or intended to be in the best interest of the child, patient, or person with a disability.  </w:t>
      </w:r>
      <w:r w:rsidR="00ED2092">
        <w:rPr>
          <w:rFonts w:ascii="Times New Roman" w:hAnsi="Times New Roman" w:cs="Times New Roman"/>
          <w:sz w:val="24"/>
          <w:szCs w:val="24"/>
        </w:rPr>
        <w:t>T</w:t>
      </w:r>
      <w:r w:rsidR="00D27D43">
        <w:rPr>
          <w:rFonts w:ascii="Times New Roman" w:hAnsi="Times New Roman" w:cs="Times New Roman"/>
          <w:sz w:val="24"/>
          <w:szCs w:val="24"/>
        </w:rPr>
        <w:t>he recent adoption of the CRPD has provided an opportunity to re-examine the application of the torture protectio</w:t>
      </w:r>
      <w:r w:rsidR="002028DB">
        <w:rPr>
          <w:rFonts w:ascii="Times New Roman" w:hAnsi="Times New Roman" w:cs="Times New Roman"/>
          <w:sz w:val="24"/>
          <w:szCs w:val="24"/>
        </w:rPr>
        <w:t>n in the cont</w:t>
      </w:r>
      <w:r w:rsidR="00A813FD">
        <w:rPr>
          <w:rFonts w:ascii="Times New Roman" w:hAnsi="Times New Roman" w:cs="Times New Roman"/>
          <w:sz w:val="24"/>
          <w:szCs w:val="24"/>
        </w:rPr>
        <w:t>ext of health care.  R</w:t>
      </w:r>
      <w:r>
        <w:rPr>
          <w:rFonts w:ascii="Times New Roman" w:hAnsi="Times New Roman" w:cs="Times New Roman"/>
          <w:sz w:val="24"/>
          <w:szCs w:val="24"/>
        </w:rPr>
        <w:t xml:space="preserve">ecent </w:t>
      </w:r>
      <w:r w:rsidR="00D27D43">
        <w:rPr>
          <w:rFonts w:ascii="Times New Roman" w:hAnsi="Times New Roman" w:cs="Times New Roman"/>
          <w:sz w:val="24"/>
          <w:szCs w:val="24"/>
        </w:rPr>
        <w:t>UN Special Rapporteur</w:t>
      </w:r>
      <w:r>
        <w:rPr>
          <w:rFonts w:ascii="Times New Roman" w:hAnsi="Times New Roman" w:cs="Times New Roman"/>
          <w:sz w:val="24"/>
          <w:szCs w:val="24"/>
        </w:rPr>
        <w:t>s</w:t>
      </w:r>
      <w:r w:rsidR="00D27D43">
        <w:rPr>
          <w:rFonts w:ascii="Times New Roman" w:hAnsi="Times New Roman" w:cs="Times New Roman"/>
          <w:sz w:val="24"/>
          <w:szCs w:val="24"/>
        </w:rPr>
        <w:t xml:space="preserve"> on Torture Juan Méndez and Manfred Nowak</w:t>
      </w:r>
      <w:r w:rsidR="00A813FD">
        <w:rPr>
          <w:rFonts w:ascii="Times New Roman" w:hAnsi="Times New Roman" w:cs="Times New Roman"/>
          <w:sz w:val="24"/>
          <w:szCs w:val="24"/>
        </w:rPr>
        <w:t xml:space="preserve"> have examined the implications of the CRPD in identifying discriminatory actions that may lead to ill-treatment or torture. </w:t>
      </w:r>
      <w:r w:rsidR="0058493C">
        <w:rPr>
          <w:rFonts w:ascii="Times New Roman" w:hAnsi="Times New Roman" w:cs="Times New Roman"/>
          <w:sz w:val="24"/>
          <w:szCs w:val="24"/>
        </w:rPr>
        <w:t xml:space="preserve"> A</w:t>
      </w:r>
      <w:r w:rsidR="001A70FF">
        <w:rPr>
          <w:rFonts w:ascii="Times New Roman" w:hAnsi="Times New Roman" w:cs="Times New Roman"/>
          <w:sz w:val="24"/>
          <w:szCs w:val="24"/>
        </w:rPr>
        <w:t xml:space="preserve">s </w:t>
      </w:r>
      <w:r w:rsidR="00D27D43">
        <w:rPr>
          <w:rFonts w:ascii="Times New Roman" w:hAnsi="Times New Roman" w:cs="Times New Roman"/>
          <w:sz w:val="24"/>
          <w:szCs w:val="24"/>
        </w:rPr>
        <w:t xml:space="preserve">Méndez and Nowak have now recognized, </w:t>
      </w:r>
      <w:r w:rsidR="001A70FF">
        <w:rPr>
          <w:rFonts w:ascii="Times New Roman" w:hAnsi="Times New Roman" w:cs="Times New Roman"/>
          <w:sz w:val="24"/>
          <w:szCs w:val="24"/>
        </w:rPr>
        <w:t xml:space="preserve">government-sanctioned practices that cause severe </w:t>
      </w:r>
      <w:r w:rsidR="000155D8">
        <w:rPr>
          <w:rFonts w:ascii="Times New Roman" w:hAnsi="Times New Roman" w:cs="Times New Roman"/>
          <w:sz w:val="24"/>
          <w:szCs w:val="24"/>
        </w:rPr>
        <w:t xml:space="preserve">emotional or physical </w:t>
      </w:r>
      <w:r w:rsidR="001A70FF">
        <w:rPr>
          <w:rFonts w:ascii="Times New Roman" w:hAnsi="Times New Roman" w:cs="Times New Roman"/>
          <w:sz w:val="24"/>
          <w:szCs w:val="24"/>
        </w:rPr>
        <w:t xml:space="preserve">pain </w:t>
      </w:r>
      <w:r w:rsidR="000155D8">
        <w:rPr>
          <w:rFonts w:ascii="Times New Roman" w:hAnsi="Times New Roman" w:cs="Times New Roman"/>
          <w:sz w:val="24"/>
          <w:szCs w:val="24"/>
        </w:rPr>
        <w:t xml:space="preserve">or suffering </w:t>
      </w:r>
      <w:r w:rsidRPr="006D4F45">
        <w:rPr>
          <w:rFonts w:ascii="Times New Roman" w:hAnsi="Times New Roman" w:cs="Times New Roman"/>
          <w:sz w:val="24"/>
          <w:szCs w:val="24"/>
        </w:rPr>
        <w:t>may</w:t>
      </w:r>
      <w:r w:rsidR="001A70FF">
        <w:rPr>
          <w:rFonts w:ascii="Times New Roman" w:hAnsi="Times New Roman" w:cs="Times New Roman"/>
          <w:sz w:val="24"/>
          <w:szCs w:val="24"/>
        </w:rPr>
        <w:t xml:space="preserve"> constitute torture</w:t>
      </w:r>
      <w:r w:rsidR="000155D8">
        <w:rPr>
          <w:rFonts w:ascii="Times New Roman" w:hAnsi="Times New Roman" w:cs="Times New Roman"/>
          <w:sz w:val="24"/>
          <w:szCs w:val="24"/>
        </w:rPr>
        <w:t xml:space="preserve"> or</w:t>
      </w:r>
      <w:r>
        <w:rPr>
          <w:rFonts w:ascii="Times New Roman" w:hAnsi="Times New Roman" w:cs="Times New Roman"/>
          <w:sz w:val="24"/>
          <w:szCs w:val="24"/>
        </w:rPr>
        <w:t xml:space="preserve"> ill-treatment </w:t>
      </w:r>
      <w:r w:rsidRPr="006D4F45">
        <w:rPr>
          <w:rFonts w:ascii="Times New Roman" w:hAnsi="Times New Roman" w:cs="Times New Roman"/>
          <w:i/>
          <w:sz w:val="24"/>
          <w:szCs w:val="24"/>
        </w:rPr>
        <w:t>even if</w:t>
      </w:r>
      <w:r>
        <w:rPr>
          <w:rFonts w:ascii="Times New Roman" w:hAnsi="Times New Roman" w:cs="Times New Roman"/>
          <w:sz w:val="24"/>
          <w:szCs w:val="24"/>
        </w:rPr>
        <w:t xml:space="preserve"> these practices are done for the purpose of treatment or protection</w:t>
      </w:r>
      <w:r w:rsidR="001A70FF">
        <w:rPr>
          <w:rFonts w:ascii="Times New Roman" w:hAnsi="Times New Roman" w:cs="Times New Roman"/>
          <w:sz w:val="24"/>
          <w:szCs w:val="24"/>
        </w:rPr>
        <w:t>.</w:t>
      </w:r>
      <w:r w:rsidR="001022B7" w:rsidRPr="00B57B6A">
        <w:rPr>
          <w:rFonts w:ascii="Times New Roman" w:hAnsi="Times New Roman" w:cs="Times New Roman"/>
          <w:sz w:val="24"/>
          <w:szCs w:val="24"/>
        </w:rPr>
        <w:t xml:space="preserve"> </w:t>
      </w:r>
      <w:r w:rsidR="00D27D43">
        <w:rPr>
          <w:rFonts w:ascii="Times New Roman" w:hAnsi="Times New Roman" w:cs="Times New Roman"/>
          <w:sz w:val="24"/>
          <w:szCs w:val="24"/>
        </w:rPr>
        <w:t xml:space="preserve">This is true whether or not the family, caregiver </w:t>
      </w:r>
      <w:r w:rsidR="00A813FD">
        <w:rPr>
          <w:rFonts w:ascii="Times New Roman" w:hAnsi="Times New Roman" w:cs="Times New Roman"/>
          <w:sz w:val="24"/>
          <w:szCs w:val="24"/>
        </w:rPr>
        <w:t xml:space="preserve">or guardian </w:t>
      </w:r>
      <w:r w:rsidR="00D27D43">
        <w:rPr>
          <w:rFonts w:ascii="Times New Roman" w:hAnsi="Times New Roman" w:cs="Times New Roman"/>
          <w:sz w:val="24"/>
          <w:szCs w:val="24"/>
        </w:rPr>
        <w:t xml:space="preserve">claims to be acting in the “best interest” of the ward or patient. </w:t>
      </w:r>
      <w:r w:rsidR="003B2048">
        <w:rPr>
          <w:rFonts w:ascii="Times New Roman" w:hAnsi="Times New Roman" w:cs="Times New Roman"/>
          <w:sz w:val="24"/>
          <w:szCs w:val="24"/>
        </w:rPr>
        <w:t>This analysis demonstrates why a narrow reliance on a best interest standard is not adequate to protect children from ill-treatment or torture.</w:t>
      </w:r>
    </w:p>
    <w:p w14:paraId="329AF8EB" w14:textId="75524994" w:rsidR="00D27D43" w:rsidRDefault="00D27D43" w:rsidP="00797636">
      <w:pPr>
        <w:spacing w:line="240" w:lineRule="auto"/>
        <w:jc w:val="both"/>
        <w:rPr>
          <w:rFonts w:ascii="Times New Roman" w:hAnsi="Times New Roman" w:cs="Times New Roman"/>
          <w:sz w:val="24"/>
          <w:szCs w:val="24"/>
        </w:rPr>
      </w:pPr>
      <w:r>
        <w:rPr>
          <w:rFonts w:ascii="Times New Roman" w:hAnsi="Times New Roman" w:cs="Times New Roman"/>
          <w:sz w:val="24"/>
          <w:szCs w:val="24"/>
        </w:rPr>
        <w:t>Drawing on the important insights</w:t>
      </w:r>
      <w:r w:rsidR="00ED2092">
        <w:rPr>
          <w:rFonts w:ascii="Times New Roman" w:hAnsi="Times New Roman" w:cs="Times New Roman"/>
          <w:sz w:val="24"/>
          <w:szCs w:val="24"/>
        </w:rPr>
        <w:t xml:space="preserve"> of reports by Nowak and Méndez</w:t>
      </w:r>
      <w:r>
        <w:rPr>
          <w:rFonts w:ascii="Times New Roman" w:hAnsi="Times New Roman" w:cs="Times New Roman"/>
          <w:sz w:val="24"/>
          <w:szCs w:val="24"/>
        </w:rPr>
        <w:t xml:space="preserve">, </w:t>
      </w:r>
      <w:r w:rsidR="001022B7" w:rsidRPr="00B57B6A">
        <w:rPr>
          <w:rFonts w:ascii="Times New Roman" w:hAnsi="Times New Roman" w:cs="Times New Roman"/>
          <w:sz w:val="24"/>
          <w:szCs w:val="24"/>
        </w:rPr>
        <w:t xml:space="preserve">Part V describes how the protection against </w:t>
      </w:r>
      <w:r w:rsidR="000155D8">
        <w:rPr>
          <w:rFonts w:ascii="Times New Roman" w:hAnsi="Times New Roman" w:cs="Times New Roman"/>
          <w:sz w:val="24"/>
          <w:szCs w:val="24"/>
        </w:rPr>
        <w:t>torture or ill-treatment can and</w:t>
      </w:r>
      <w:r w:rsidR="001022B7" w:rsidRPr="00B57B6A">
        <w:rPr>
          <w:rFonts w:ascii="Times New Roman" w:hAnsi="Times New Roman" w:cs="Times New Roman"/>
          <w:sz w:val="24"/>
          <w:szCs w:val="24"/>
        </w:rPr>
        <w:t xml:space="preserve"> must be enforced</w:t>
      </w:r>
      <w:r>
        <w:rPr>
          <w:rFonts w:ascii="Times New Roman" w:hAnsi="Times New Roman" w:cs="Times New Roman"/>
          <w:sz w:val="24"/>
          <w:szCs w:val="24"/>
        </w:rPr>
        <w:t xml:space="preserve"> to protect children subject to detention in institutions. If </w:t>
      </w:r>
      <w:r w:rsidR="003B2048">
        <w:rPr>
          <w:rFonts w:ascii="Times New Roman" w:hAnsi="Times New Roman" w:cs="Times New Roman"/>
          <w:sz w:val="24"/>
          <w:szCs w:val="24"/>
        </w:rPr>
        <w:t xml:space="preserve">a family member or social service authority acts in the so-called best </w:t>
      </w:r>
      <w:r w:rsidR="003B2048">
        <w:rPr>
          <w:rFonts w:ascii="Times New Roman" w:hAnsi="Times New Roman" w:cs="Times New Roman"/>
          <w:sz w:val="24"/>
          <w:szCs w:val="24"/>
        </w:rPr>
        <w:lastRenderedPageBreak/>
        <w:t>interest of</w:t>
      </w:r>
      <w:r>
        <w:rPr>
          <w:rFonts w:ascii="Times New Roman" w:hAnsi="Times New Roman" w:cs="Times New Roman"/>
          <w:sz w:val="24"/>
          <w:szCs w:val="24"/>
        </w:rPr>
        <w:t xml:space="preserve"> a child to </w:t>
      </w:r>
      <w:r w:rsidR="003B2048">
        <w:rPr>
          <w:rFonts w:ascii="Times New Roman" w:hAnsi="Times New Roman" w:cs="Times New Roman"/>
          <w:sz w:val="24"/>
          <w:szCs w:val="24"/>
        </w:rPr>
        <w:t xml:space="preserve">subject them to unnecessary </w:t>
      </w:r>
      <w:r w:rsidR="004B4900">
        <w:rPr>
          <w:rFonts w:ascii="Times New Roman" w:hAnsi="Times New Roman" w:cs="Times New Roman"/>
          <w:sz w:val="24"/>
          <w:szCs w:val="24"/>
        </w:rPr>
        <w:t>pain and suffering</w:t>
      </w:r>
      <w:r w:rsidR="003B2048">
        <w:rPr>
          <w:rFonts w:ascii="Times New Roman" w:hAnsi="Times New Roman" w:cs="Times New Roman"/>
          <w:sz w:val="24"/>
          <w:szCs w:val="24"/>
        </w:rPr>
        <w:t xml:space="preserve"> of institutional placement</w:t>
      </w:r>
      <w:r w:rsidR="004B4900">
        <w:rPr>
          <w:rFonts w:ascii="Times New Roman" w:hAnsi="Times New Roman" w:cs="Times New Roman"/>
          <w:sz w:val="24"/>
          <w:szCs w:val="24"/>
        </w:rPr>
        <w:t>, it may be</w:t>
      </w:r>
      <w:r>
        <w:rPr>
          <w:rFonts w:ascii="Times New Roman" w:hAnsi="Times New Roman" w:cs="Times New Roman"/>
          <w:sz w:val="24"/>
          <w:szCs w:val="24"/>
        </w:rPr>
        <w:t xml:space="preserve"> proh</w:t>
      </w:r>
      <w:r w:rsidR="003B2048">
        <w:rPr>
          <w:rFonts w:ascii="Times New Roman" w:hAnsi="Times New Roman" w:cs="Times New Roman"/>
          <w:sz w:val="24"/>
          <w:szCs w:val="24"/>
        </w:rPr>
        <w:t>ibited by the obligation to prevent</w:t>
      </w:r>
      <w:r>
        <w:rPr>
          <w:rFonts w:ascii="Times New Roman" w:hAnsi="Times New Roman" w:cs="Times New Roman"/>
          <w:sz w:val="24"/>
          <w:szCs w:val="24"/>
        </w:rPr>
        <w:t xml:space="preserve"> torture.</w:t>
      </w:r>
      <w:r w:rsidR="004B4900">
        <w:rPr>
          <w:rFonts w:ascii="Times New Roman" w:hAnsi="Times New Roman" w:cs="Times New Roman"/>
          <w:sz w:val="24"/>
          <w:szCs w:val="24"/>
        </w:rPr>
        <w:t xml:space="preserve"> </w:t>
      </w:r>
    </w:p>
    <w:p w14:paraId="26D5DC0C" w14:textId="20099852" w:rsidR="004B4900" w:rsidRDefault="001022B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Part VI </w:t>
      </w:r>
      <w:r w:rsidR="00506D91" w:rsidRPr="00B57B6A">
        <w:rPr>
          <w:rFonts w:ascii="Times New Roman" w:hAnsi="Times New Roman" w:cs="Times New Roman"/>
          <w:sz w:val="24"/>
          <w:szCs w:val="24"/>
        </w:rPr>
        <w:t>describes</w:t>
      </w:r>
      <w:r w:rsidR="00165F1D" w:rsidRPr="00B57B6A">
        <w:rPr>
          <w:rFonts w:ascii="Times New Roman" w:hAnsi="Times New Roman" w:cs="Times New Roman"/>
          <w:sz w:val="24"/>
          <w:szCs w:val="24"/>
        </w:rPr>
        <w:t xml:space="preserve"> the </w:t>
      </w:r>
      <w:r w:rsidR="003B2048">
        <w:rPr>
          <w:rFonts w:ascii="Times New Roman" w:hAnsi="Times New Roman" w:cs="Times New Roman"/>
          <w:sz w:val="24"/>
          <w:szCs w:val="24"/>
        </w:rPr>
        <w:t xml:space="preserve">many </w:t>
      </w:r>
      <w:r w:rsidR="00ED2092">
        <w:rPr>
          <w:rFonts w:ascii="Times New Roman" w:hAnsi="Times New Roman" w:cs="Times New Roman"/>
          <w:sz w:val="24"/>
          <w:szCs w:val="24"/>
        </w:rPr>
        <w:t>challenges</w:t>
      </w:r>
      <w:r w:rsidR="00506D91" w:rsidRPr="00B57B6A">
        <w:rPr>
          <w:rFonts w:ascii="Times New Roman" w:hAnsi="Times New Roman" w:cs="Times New Roman"/>
          <w:sz w:val="24"/>
          <w:szCs w:val="24"/>
        </w:rPr>
        <w:t xml:space="preserve"> faced by governments </w:t>
      </w:r>
      <w:r w:rsidR="00ED2092">
        <w:rPr>
          <w:rFonts w:ascii="Times New Roman" w:hAnsi="Times New Roman" w:cs="Times New Roman"/>
          <w:sz w:val="24"/>
          <w:szCs w:val="24"/>
        </w:rPr>
        <w:t xml:space="preserve">in </w:t>
      </w:r>
      <w:r w:rsidR="007F5518" w:rsidRPr="00B57B6A">
        <w:rPr>
          <w:rFonts w:ascii="Times New Roman" w:hAnsi="Times New Roman" w:cs="Times New Roman"/>
          <w:sz w:val="24"/>
          <w:szCs w:val="24"/>
        </w:rPr>
        <w:t>protect</w:t>
      </w:r>
      <w:r w:rsidR="00ED2092">
        <w:rPr>
          <w:rFonts w:ascii="Times New Roman" w:hAnsi="Times New Roman" w:cs="Times New Roman"/>
          <w:sz w:val="24"/>
          <w:szCs w:val="24"/>
        </w:rPr>
        <w:t>ing</w:t>
      </w:r>
      <w:r w:rsidR="007F5518" w:rsidRPr="00B57B6A">
        <w:rPr>
          <w:rFonts w:ascii="Times New Roman" w:hAnsi="Times New Roman" w:cs="Times New Roman"/>
          <w:sz w:val="24"/>
          <w:szCs w:val="24"/>
        </w:rPr>
        <w:t xml:space="preserve"> against </w:t>
      </w:r>
      <w:r w:rsidR="000155D8">
        <w:rPr>
          <w:rFonts w:ascii="Times New Roman" w:hAnsi="Times New Roman" w:cs="Times New Roman"/>
          <w:sz w:val="24"/>
          <w:szCs w:val="24"/>
        </w:rPr>
        <w:t xml:space="preserve">ill-treatment or </w:t>
      </w:r>
      <w:r w:rsidR="007F5518" w:rsidRPr="00B57B6A">
        <w:rPr>
          <w:rFonts w:ascii="Times New Roman" w:hAnsi="Times New Roman" w:cs="Times New Roman"/>
          <w:sz w:val="24"/>
          <w:szCs w:val="24"/>
        </w:rPr>
        <w:t xml:space="preserve">torture </w:t>
      </w:r>
      <w:r w:rsidR="003B2048">
        <w:rPr>
          <w:rFonts w:ascii="Times New Roman" w:hAnsi="Times New Roman" w:cs="Times New Roman"/>
          <w:sz w:val="24"/>
          <w:szCs w:val="24"/>
        </w:rPr>
        <w:t xml:space="preserve">for children who are already placed </w:t>
      </w:r>
      <w:r w:rsidR="007F5518" w:rsidRPr="00B57B6A">
        <w:rPr>
          <w:rFonts w:ascii="Times New Roman" w:hAnsi="Times New Roman" w:cs="Times New Roman"/>
          <w:sz w:val="24"/>
          <w:szCs w:val="24"/>
        </w:rPr>
        <w:t>in institutions</w:t>
      </w:r>
      <w:r w:rsidR="00ED2092">
        <w:rPr>
          <w:rFonts w:ascii="Times New Roman" w:hAnsi="Times New Roman" w:cs="Times New Roman"/>
          <w:sz w:val="24"/>
          <w:szCs w:val="24"/>
        </w:rPr>
        <w:t xml:space="preserve">. </w:t>
      </w:r>
      <w:r w:rsidR="004B4900">
        <w:rPr>
          <w:rFonts w:ascii="Times New Roman" w:hAnsi="Times New Roman" w:cs="Times New Roman"/>
          <w:sz w:val="24"/>
          <w:szCs w:val="24"/>
        </w:rPr>
        <w:t xml:space="preserve">By taking action to protect children </w:t>
      </w:r>
      <w:r w:rsidR="003B2048">
        <w:rPr>
          <w:rFonts w:ascii="Times New Roman" w:hAnsi="Times New Roman" w:cs="Times New Roman"/>
          <w:sz w:val="24"/>
          <w:szCs w:val="24"/>
        </w:rPr>
        <w:t>in institutions, governments are likely to funnel</w:t>
      </w:r>
      <w:r w:rsidR="004B4900">
        <w:rPr>
          <w:rFonts w:ascii="Times New Roman" w:hAnsi="Times New Roman" w:cs="Times New Roman"/>
          <w:sz w:val="24"/>
          <w:szCs w:val="24"/>
        </w:rPr>
        <w:t xml:space="preserve"> new resources and support to</w:t>
      </w:r>
      <w:r w:rsidR="003B2048">
        <w:rPr>
          <w:rFonts w:ascii="Times New Roman" w:hAnsi="Times New Roman" w:cs="Times New Roman"/>
          <w:sz w:val="24"/>
          <w:szCs w:val="24"/>
        </w:rPr>
        <w:t xml:space="preserve"> segregated care in these facilities</w:t>
      </w:r>
      <w:r w:rsidR="004B4900">
        <w:rPr>
          <w:rFonts w:ascii="Times New Roman" w:hAnsi="Times New Roman" w:cs="Times New Roman"/>
          <w:sz w:val="24"/>
          <w:szCs w:val="24"/>
        </w:rPr>
        <w:t>.</w:t>
      </w:r>
      <w:r w:rsidR="007F5518" w:rsidRPr="00B57B6A">
        <w:rPr>
          <w:rFonts w:ascii="Times New Roman" w:hAnsi="Times New Roman" w:cs="Times New Roman"/>
          <w:sz w:val="24"/>
          <w:szCs w:val="24"/>
        </w:rPr>
        <w:t xml:space="preserve"> Tragically, </w:t>
      </w:r>
      <w:r w:rsidR="00DC2092" w:rsidRPr="00B57B6A">
        <w:rPr>
          <w:rFonts w:ascii="Times New Roman" w:hAnsi="Times New Roman" w:cs="Times New Roman"/>
          <w:sz w:val="24"/>
          <w:szCs w:val="24"/>
        </w:rPr>
        <w:t xml:space="preserve">orphanage populations </w:t>
      </w:r>
      <w:r w:rsidR="004B4900">
        <w:rPr>
          <w:rFonts w:ascii="Times New Roman" w:hAnsi="Times New Roman" w:cs="Times New Roman"/>
          <w:sz w:val="24"/>
          <w:szCs w:val="24"/>
        </w:rPr>
        <w:t>may i</w:t>
      </w:r>
      <w:r w:rsidR="00DC2092" w:rsidRPr="000155D8">
        <w:rPr>
          <w:rFonts w:ascii="Times New Roman" w:hAnsi="Times New Roman" w:cs="Times New Roman"/>
          <w:sz w:val="24"/>
          <w:szCs w:val="24"/>
        </w:rPr>
        <w:t>ncrease</w:t>
      </w:r>
      <w:r w:rsidR="00DC2092" w:rsidRPr="00B57B6A">
        <w:rPr>
          <w:rFonts w:ascii="Times New Roman" w:hAnsi="Times New Roman" w:cs="Times New Roman"/>
          <w:sz w:val="24"/>
          <w:szCs w:val="24"/>
        </w:rPr>
        <w:t xml:space="preserve"> as a result</w:t>
      </w:r>
      <w:r w:rsidR="00506D91" w:rsidRPr="00B57B6A">
        <w:rPr>
          <w:rFonts w:ascii="Times New Roman" w:hAnsi="Times New Roman" w:cs="Times New Roman"/>
          <w:sz w:val="24"/>
          <w:szCs w:val="24"/>
        </w:rPr>
        <w:t xml:space="preserve"> of </w:t>
      </w:r>
      <w:r w:rsidR="004B4900">
        <w:rPr>
          <w:rFonts w:ascii="Times New Roman" w:hAnsi="Times New Roman" w:cs="Times New Roman"/>
          <w:sz w:val="24"/>
          <w:szCs w:val="24"/>
        </w:rPr>
        <w:t xml:space="preserve">these </w:t>
      </w:r>
      <w:r w:rsidR="00506D91" w:rsidRPr="00B57B6A">
        <w:rPr>
          <w:rFonts w:ascii="Times New Roman" w:hAnsi="Times New Roman" w:cs="Times New Roman"/>
          <w:sz w:val="24"/>
          <w:szCs w:val="24"/>
        </w:rPr>
        <w:t>new investments</w:t>
      </w:r>
      <w:r w:rsidR="004B4900">
        <w:rPr>
          <w:rFonts w:ascii="Times New Roman" w:hAnsi="Times New Roman" w:cs="Times New Roman"/>
          <w:sz w:val="24"/>
          <w:szCs w:val="24"/>
        </w:rPr>
        <w:t xml:space="preserve">. </w:t>
      </w:r>
      <w:r w:rsidR="00EE6FF8" w:rsidRPr="00B57B6A">
        <w:rPr>
          <w:rFonts w:ascii="Times New Roman" w:hAnsi="Times New Roman" w:cs="Times New Roman"/>
          <w:sz w:val="24"/>
          <w:szCs w:val="24"/>
        </w:rPr>
        <w:t xml:space="preserve">The </w:t>
      </w:r>
      <w:r w:rsidR="007A5B7A" w:rsidRPr="00B57B6A">
        <w:rPr>
          <w:rFonts w:ascii="Times New Roman" w:hAnsi="Times New Roman" w:cs="Times New Roman"/>
          <w:sz w:val="24"/>
          <w:szCs w:val="24"/>
        </w:rPr>
        <w:t>Méndez</w:t>
      </w:r>
      <w:r w:rsidR="00EE6FF8" w:rsidRPr="00B57B6A">
        <w:rPr>
          <w:rFonts w:ascii="Times New Roman" w:hAnsi="Times New Roman" w:cs="Times New Roman"/>
          <w:sz w:val="24"/>
          <w:szCs w:val="24"/>
        </w:rPr>
        <w:t xml:space="preserve"> Report </w:t>
      </w:r>
      <w:r w:rsidR="00DC2092" w:rsidRPr="00B57B6A">
        <w:rPr>
          <w:rFonts w:ascii="Times New Roman" w:hAnsi="Times New Roman" w:cs="Times New Roman"/>
          <w:sz w:val="24"/>
          <w:szCs w:val="24"/>
        </w:rPr>
        <w:t>does not resolve th</w:t>
      </w:r>
      <w:r w:rsidR="004B4900">
        <w:rPr>
          <w:rFonts w:ascii="Times New Roman" w:hAnsi="Times New Roman" w:cs="Times New Roman"/>
          <w:sz w:val="24"/>
          <w:szCs w:val="24"/>
        </w:rPr>
        <w:t>e</w:t>
      </w:r>
      <w:r w:rsidR="00DC2092" w:rsidRPr="00B57B6A">
        <w:rPr>
          <w:rFonts w:ascii="Times New Roman" w:hAnsi="Times New Roman" w:cs="Times New Roman"/>
          <w:sz w:val="24"/>
          <w:szCs w:val="24"/>
        </w:rPr>
        <w:t xml:space="preserve"> dilemma</w:t>
      </w:r>
      <w:r w:rsidR="004B4900">
        <w:rPr>
          <w:rFonts w:ascii="Times New Roman" w:hAnsi="Times New Roman" w:cs="Times New Roman"/>
          <w:sz w:val="24"/>
          <w:szCs w:val="24"/>
        </w:rPr>
        <w:t xml:space="preserve"> facing governments seeking to protect children </w:t>
      </w:r>
      <w:r w:rsidR="003B2048">
        <w:rPr>
          <w:rFonts w:ascii="Times New Roman" w:hAnsi="Times New Roman" w:cs="Times New Roman"/>
          <w:sz w:val="24"/>
          <w:szCs w:val="24"/>
        </w:rPr>
        <w:t>with</w:t>
      </w:r>
      <w:r w:rsidR="004B4900">
        <w:rPr>
          <w:rFonts w:ascii="Times New Roman" w:hAnsi="Times New Roman" w:cs="Times New Roman"/>
          <w:sz w:val="24"/>
          <w:szCs w:val="24"/>
        </w:rPr>
        <w:t xml:space="preserve">in institutions. </w:t>
      </w:r>
      <w:r w:rsidR="00ED2092">
        <w:rPr>
          <w:rFonts w:ascii="Times New Roman" w:hAnsi="Times New Roman" w:cs="Times New Roman"/>
          <w:sz w:val="24"/>
          <w:szCs w:val="24"/>
        </w:rPr>
        <w:t>Enforcement of the M</w:t>
      </w:r>
      <w:r w:rsidR="008D7A56">
        <w:rPr>
          <w:rFonts w:ascii="Times New Roman" w:hAnsi="Times New Roman" w:cs="Times New Roman"/>
          <w:sz w:val="24"/>
          <w:szCs w:val="24"/>
        </w:rPr>
        <w:t>é</w:t>
      </w:r>
      <w:r w:rsidR="00ED2092">
        <w:rPr>
          <w:rFonts w:ascii="Times New Roman" w:hAnsi="Times New Roman" w:cs="Times New Roman"/>
          <w:sz w:val="24"/>
          <w:szCs w:val="24"/>
        </w:rPr>
        <w:t xml:space="preserve">ndez recommendations, however, would </w:t>
      </w:r>
      <w:r w:rsidR="003B2048">
        <w:rPr>
          <w:rFonts w:ascii="Times New Roman" w:hAnsi="Times New Roman" w:cs="Times New Roman"/>
          <w:sz w:val="24"/>
          <w:szCs w:val="24"/>
        </w:rPr>
        <w:t xml:space="preserve">largely </w:t>
      </w:r>
      <w:r w:rsidR="00ED2092">
        <w:rPr>
          <w:rFonts w:ascii="Times New Roman" w:hAnsi="Times New Roman" w:cs="Times New Roman"/>
          <w:sz w:val="24"/>
          <w:szCs w:val="24"/>
        </w:rPr>
        <w:t>avoid this risk by limiting new placements in institutions. This analysis</w:t>
      </w:r>
      <w:r w:rsidR="00DC2092" w:rsidRPr="00B57B6A">
        <w:rPr>
          <w:rFonts w:ascii="Times New Roman" w:hAnsi="Times New Roman" w:cs="Times New Roman"/>
          <w:sz w:val="24"/>
          <w:szCs w:val="24"/>
        </w:rPr>
        <w:t xml:space="preserve"> </w:t>
      </w:r>
      <w:r w:rsidR="007F5518" w:rsidRPr="00B57B6A">
        <w:rPr>
          <w:rFonts w:ascii="Times New Roman" w:hAnsi="Times New Roman" w:cs="Times New Roman"/>
          <w:sz w:val="24"/>
          <w:szCs w:val="24"/>
        </w:rPr>
        <w:t xml:space="preserve">underscores the </w:t>
      </w:r>
      <w:r w:rsidR="00506D91" w:rsidRPr="00B57B6A">
        <w:rPr>
          <w:rFonts w:ascii="Times New Roman" w:hAnsi="Times New Roman" w:cs="Times New Roman"/>
          <w:sz w:val="24"/>
          <w:szCs w:val="24"/>
        </w:rPr>
        <w:t>urg</w:t>
      </w:r>
      <w:r w:rsidR="003B2048">
        <w:rPr>
          <w:rFonts w:ascii="Times New Roman" w:hAnsi="Times New Roman" w:cs="Times New Roman"/>
          <w:sz w:val="24"/>
          <w:szCs w:val="24"/>
        </w:rPr>
        <w:t>ency of establishing a no-admission policy and rapidly working toward the elimination of institutions.</w:t>
      </w:r>
    </w:p>
    <w:p w14:paraId="557C9B03" w14:textId="19D18665" w:rsidR="00ED2092" w:rsidRDefault="00EE6FF8"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Part </w:t>
      </w:r>
      <w:r w:rsidR="001022B7" w:rsidRPr="00B57B6A">
        <w:rPr>
          <w:rFonts w:ascii="Times New Roman" w:hAnsi="Times New Roman" w:cs="Times New Roman"/>
          <w:sz w:val="24"/>
          <w:szCs w:val="24"/>
        </w:rPr>
        <w:t>V</w:t>
      </w:r>
      <w:r w:rsidR="004B4900">
        <w:rPr>
          <w:rFonts w:ascii="Times New Roman" w:hAnsi="Times New Roman" w:cs="Times New Roman"/>
          <w:sz w:val="24"/>
          <w:szCs w:val="24"/>
        </w:rPr>
        <w:t>I</w:t>
      </w:r>
      <w:r w:rsidR="001022B7" w:rsidRPr="00B57B6A">
        <w:rPr>
          <w:rFonts w:ascii="Times New Roman" w:hAnsi="Times New Roman" w:cs="Times New Roman"/>
          <w:sz w:val="24"/>
          <w:szCs w:val="24"/>
        </w:rPr>
        <w:t xml:space="preserve">I </w:t>
      </w:r>
      <w:r w:rsidRPr="00B57B6A">
        <w:rPr>
          <w:rFonts w:ascii="Times New Roman" w:hAnsi="Times New Roman" w:cs="Times New Roman"/>
          <w:sz w:val="24"/>
          <w:szCs w:val="24"/>
        </w:rPr>
        <w:t xml:space="preserve">describes the obligation </w:t>
      </w:r>
      <w:r w:rsidR="004F2721" w:rsidRPr="00B57B6A">
        <w:rPr>
          <w:rFonts w:ascii="Times New Roman" w:hAnsi="Times New Roman" w:cs="Times New Roman"/>
          <w:sz w:val="24"/>
          <w:szCs w:val="24"/>
        </w:rPr>
        <w:t>to enforce the protection</w:t>
      </w:r>
      <w:r w:rsidR="007B1A28" w:rsidRPr="00B57B6A">
        <w:rPr>
          <w:rFonts w:ascii="Times New Roman" w:hAnsi="Times New Roman" w:cs="Times New Roman"/>
          <w:sz w:val="24"/>
          <w:szCs w:val="24"/>
        </w:rPr>
        <w:t xml:space="preserve"> against</w:t>
      </w:r>
      <w:r w:rsidR="004F2721" w:rsidRPr="00B57B6A">
        <w:rPr>
          <w:rFonts w:ascii="Times New Roman" w:hAnsi="Times New Roman" w:cs="Times New Roman"/>
          <w:sz w:val="24"/>
          <w:szCs w:val="24"/>
        </w:rPr>
        <w:t xml:space="preserve"> </w:t>
      </w:r>
      <w:r w:rsidR="00F52457" w:rsidRPr="00B57B6A">
        <w:rPr>
          <w:rFonts w:ascii="Times New Roman" w:hAnsi="Times New Roman" w:cs="Times New Roman"/>
          <w:sz w:val="24"/>
          <w:szCs w:val="24"/>
        </w:rPr>
        <w:t>ill-treatment or torture</w:t>
      </w:r>
      <w:r w:rsidR="00974967">
        <w:rPr>
          <w:rFonts w:ascii="Times New Roman" w:hAnsi="Times New Roman" w:cs="Times New Roman"/>
          <w:sz w:val="24"/>
          <w:szCs w:val="24"/>
        </w:rPr>
        <w:t xml:space="preserve"> under international law</w:t>
      </w:r>
      <w:r w:rsidR="004F2721" w:rsidRPr="00B57B6A">
        <w:rPr>
          <w:rFonts w:ascii="Times New Roman" w:hAnsi="Times New Roman" w:cs="Times New Roman"/>
          <w:sz w:val="24"/>
          <w:szCs w:val="24"/>
        </w:rPr>
        <w:t>.</w:t>
      </w:r>
      <w:r w:rsidR="00F52457" w:rsidRPr="00B57B6A">
        <w:rPr>
          <w:rFonts w:ascii="Times New Roman" w:hAnsi="Times New Roman" w:cs="Times New Roman"/>
          <w:sz w:val="24"/>
          <w:szCs w:val="24"/>
        </w:rPr>
        <w:t xml:space="preserve"> I</w:t>
      </w:r>
      <w:r w:rsidRPr="00B57B6A">
        <w:rPr>
          <w:rFonts w:ascii="Times New Roman" w:hAnsi="Times New Roman" w:cs="Times New Roman"/>
          <w:sz w:val="24"/>
          <w:szCs w:val="24"/>
        </w:rPr>
        <w:t xml:space="preserve">mmediate steps must be taken to bring new placements in orphanages to an end.  </w:t>
      </w:r>
      <w:r w:rsidR="008F0887" w:rsidRPr="00B57B6A">
        <w:rPr>
          <w:rFonts w:ascii="Times New Roman" w:hAnsi="Times New Roman" w:cs="Times New Roman"/>
          <w:sz w:val="24"/>
          <w:szCs w:val="24"/>
        </w:rPr>
        <w:t xml:space="preserve">Since </w:t>
      </w:r>
      <w:r w:rsidR="00F52457" w:rsidRPr="00B57B6A">
        <w:rPr>
          <w:rFonts w:ascii="Times New Roman" w:hAnsi="Times New Roman" w:cs="Times New Roman"/>
          <w:sz w:val="24"/>
          <w:szCs w:val="24"/>
        </w:rPr>
        <w:t>the vast</w:t>
      </w:r>
      <w:r w:rsidR="008F0887" w:rsidRPr="00B57B6A">
        <w:rPr>
          <w:rFonts w:ascii="Times New Roman" w:hAnsi="Times New Roman" w:cs="Times New Roman"/>
          <w:sz w:val="24"/>
          <w:szCs w:val="24"/>
        </w:rPr>
        <w:t xml:space="preserve"> majority of children placed in so-called “orphanages” a</w:t>
      </w:r>
      <w:r w:rsidR="00F52457" w:rsidRPr="00B57B6A">
        <w:rPr>
          <w:rFonts w:ascii="Times New Roman" w:hAnsi="Times New Roman" w:cs="Times New Roman"/>
          <w:sz w:val="24"/>
          <w:szCs w:val="24"/>
        </w:rPr>
        <w:t>ctually have</w:t>
      </w:r>
      <w:r w:rsidR="0053130A" w:rsidRPr="00B57B6A">
        <w:rPr>
          <w:rFonts w:ascii="Times New Roman" w:hAnsi="Times New Roman" w:cs="Times New Roman"/>
          <w:sz w:val="24"/>
          <w:szCs w:val="24"/>
        </w:rPr>
        <w:t xml:space="preserve"> some</w:t>
      </w:r>
      <w:r w:rsidR="00F52457" w:rsidRPr="00B57B6A">
        <w:rPr>
          <w:rFonts w:ascii="Times New Roman" w:hAnsi="Times New Roman" w:cs="Times New Roman"/>
          <w:sz w:val="24"/>
          <w:szCs w:val="24"/>
        </w:rPr>
        <w:t xml:space="preserve"> living family, preventing placements can usually be accomplished by </w:t>
      </w:r>
      <w:r w:rsidR="008F0887" w:rsidRPr="00B57B6A">
        <w:rPr>
          <w:rFonts w:ascii="Times New Roman" w:hAnsi="Times New Roman" w:cs="Times New Roman"/>
          <w:sz w:val="24"/>
          <w:szCs w:val="24"/>
        </w:rPr>
        <w:t>providing services</w:t>
      </w:r>
      <w:r w:rsidR="00ED2092">
        <w:rPr>
          <w:rFonts w:ascii="Times New Roman" w:hAnsi="Times New Roman" w:cs="Times New Roman"/>
          <w:sz w:val="24"/>
          <w:szCs w:val="24"/>
        </w:rPr>
        <w:t xml:space="preserve"> and protections for families. The obligation to prevent torture also requires urgent efforts to close institutions and find new community placements for children who are now detained.</w:t>
      </w:r>
      <w:r w:rsidR="00AD6C36" w:rsidRPr="00AD6C36">
        <w:rPr>
          <w:rFonts w:ascii="Times New Roman" w:hAnsi="Times New Roman" w:cs="Times New Roman"/>
          <w:sz w:val="24"/>
          <w:szCs w:val="24"/>
        </w:rPr>
        <w:t xml:space="preserve"> </w:t>
      </w:r>
      <w:r w:rsidR="00AD6C36">
        <w:rPr>
          <w:rFonts w:ascii="Times New Roman" w:hAnsi="Times New Roman" w:cs="Times New Roman"/>
          <w:sz w:val="24"/>
          <w:szCs w:val="24"/>
        </w:rPr>
        <w:t xml:space="preserve"> </w:t>
      </w:r>
    </w:p>
    <w:p w14:paraId="7034A8F7" w14:textId="17EB05FC" w:rsidR="00AD6C36" w:rsidRDefault="00D92686" w:rsidP="00AD6C36">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implications of the </w:t>
      </w:r>
      <w:r w:rsidR="007A5B7A" w:rsidRPr="00B57B6A">
        <w:rPr>
          <w:rFonts w:ascii="Times New Roman" w:hAnsi="Times New Roman" w:cs="Times New Roman"/>
          <w:sz w:val="24"/>
          <w:szCs w:val="24"/>
        </w:rPr>
        <w:t>Méndez</w:t>
      </w:r>
      <w:r w:rsidRPr="00B57B6A">
        <w:rPr>
          <w:rFonts w:ascii="Times New Roman" w:hAnsi="Times New Roman" w:cs="Times New Roman"/>
          <w:sz w:val="24"/>
          <w:szCs w:val="24"/>
        </w:rPr>
        <w:t xml:space="preserve"> Report ar</w:t>
      </w:r>
      <w:r w:rsidR="00F52457" w:rsidRPr="00B57B6A">
        <w:rPr>
          <w:rFonts w:ascii="Times New Roman" w:hAnsi="Times New Roman" w:cs="Times New Roman"/>
          <w:sz w:val="24"/>
          <w:szCs w:val="24"/>
        </w:rPr>
        <w:t xml:space="preserve">e powerful: governments are </w:t>
      </w:r>
      <w:r w:rsidRPr="00B57B6A">
        <w:rPr>
          <w:rFonts w:ascii="Times New Roman" w:hAnsi="Times New Roman" w:cs="Times New Roman"/>
          <w:sz w:val="24"/>
          <w:szCs w:val="24"/>
        </w:rPr>
        <w:t>subjecting children to</w:t>
      </w:r>
      <w:r w:rsidR="004F2721" w:rsidRPr="00B57B6A">
        <w:rPr>
          <w:rFonts w:ascii="Times New Roman" w:hAnsi="Times New Roman" w:cs="Times New Roman"/>
          <w:sz w:val="24"/>
          <w:szCs w:val="24"/>
        </w:rPr>
        <w:t xml:space="preserve"> </w:t>
      </w:r>
      <w:r w:rsidR="00ED2092">
        <w:rPr>
          <w:rFonts w:ascii="Times New Roman" w:hAnsi="Times New Roman" w:cs="Times New Roman"/>
          <w:sz w:val="24"/>
          <w:szCs w:val="24"/>
        </w:rPr>
        <w:t>an unjustifiable</w:t>
      </w:r>
      <w:r w:rsidR="004F2721" w:rsidRPr="00B57B6A">
        <w:rPr>
          <w:rFonts w:ascii="Times New Roman" w:hAnsi="Times New Roman" w:cs="Times New Roman"/>
          <w:sz w:val="24"/>
          <w:szCs w:val="24"/>
        </w:rPr>
        <w:t xml:space="preserve"> risk of</w:t>
      </w:r>
      <w:r w:rsidRPr="00B57B6A">
        <w:rPr>
          <w:rFonts w:ascii="Times New Roman" w:hAnsi="Times New Roman" w:cs="Times New Roman"/>
          <w:sz w:val="24"/>
          <w:szCs w:val="24"/>
        </w:rPr>
        <w:t xml:space="preserve"> ill-treatment or torture until such time as they eliminate institutions.</w:t>
      </w:r>
      <w:r w:rsidR="000155D8">
        <w:rPr>
          <w:rFonts w:ascii="Times New Roman" w:hAnsi="Times New Roman" w:cs="Times New Roman"/>
          <w:sz w:val="24"/>
          <w:szCs w:val="24"/>
        </w:rPr>
        <w:t xml:space="preserve">  </w:t>
      </w:r>
      <w:r w:rsidR="00F52457" w:rsidRPr="00B57B6A">
        <w:rPr>
          <w:rFonts w:ascii="Times New Roman" w:hAnsi="Times New Roman" w:cs="Times New Roman"/>
          <w:sz w:val="24"/>
          <w:szCs w:val="24"/>
        </w:rPr>
        <w:t>International donors or c</w:t>
      </w:r>
      <w:r w:rsidR="00EE2D45" w:rsidRPr="00B57B6A">
        <w:rPr>
          <w:rFonts w:ascii="Times New Roman" w:hAnsi="Times New Roman" w:cs="Times New Roman"/>
          <w:sz w:val="24"/>
          <w:szCs w:val="24"/>
        </w:rPr>
        <w:t xml:space="preserve">harities that support </w:t>
      </w:r>
      <w:r w:rsidR="00702E11">
        <w:rPr>
          <w:rFonts w:ascii="Times New Roman" w:hAnsi="Times New Roman" w:cs="Times New Roman"/>
          <w:sz w:val="24"/>
          <w:szCs w:val="24"/>
        </w:rPr>
        <w:t xml:space="preserve">institutions or </w:t>
      </w:r>
      <w:r w:rsidR="00EE2D45" w:rsidRPr="00B57B6A">
        <w:rPr>
          <w:rFonts w:ascii="Times New Roman" w:hAnsi="Times New Roman" w:cs="Times New Roman"/>
          <w:sz w:val="24"/>
          <w:szCs w:val="24"/>
        </w:rPr>
        <w:t>orphanage placement</w:t>
      </w:r>
      <w:r w:rsidR="00F52457" w:rsidRPr="00B57B6A">
        <w:rPr>
          <w:rFonts w:ascii="Times New Roman" w:hAnsi="Times New Roman" w:cs="Times New Roman"/>
          <w:sz w:val="24"/>
          <w:szCs w:val="24"/>
        </w:rPr>
        <w:t xml:space="preserve"> are perpetuating </w:t>
      </w:r>
      <w:r w:rsidR="00ED2092">
        <w:rPr>
          <w:rFonts w:ascii="Times New Roman" w:hAnsi="Times New Roman" w:cs="Times New Roman"/>
          <w:sz w:val="24"/>
          <w:szCs w:val="24"/>
        </w:rPr>
        <w:t>this problem</w:t>
      </w:r>
      <w:r w:rsidR="00F52457" w:rsidRPr="00B57B6A">
        <w:rPr>
          <w:rFonts w:ascii="Times New Roman" w:hAnsi="Times New Roman" w:cs="Times New Roman"/>
          <w:sz w:val="24"/>
          <w:szCs w:val="24"/>
        </w:rPr>
        <w:t>.</w:t>
      </w:r>
      <w:r w:rsidR="00856580">
        <w:rPr>
          <w:rFonts w:ascii="Times New Roman" w:hAnsi="Times New Roman" w:cs="Times New Roman"/>
          <w:sz w:val="24"/>
          <w:szCs w:val="24"/>
        </w:rPr>
        <w:t xml:space="preserve"> </w:t>
      </w:r>
      <w:r w:rsidR="00ED2092">
        <w:rPr>
          <w:rFonts w:ascii="Times New Roman" w:hAnsi="Times New Roman" w:cs="Times New Roman"/>
          <w:sz w:val="24"/>
          <w:szCs w:val="24"/>
        </w:rPr>
        <w:t>Th</w:t>
      </w:r>
      <w:r w:rsidR="001022B7" w:rsidRPr="00B57B6A">
        <w:rPr>
          <w:rFonts w:ascii="Times New Roman" w:hAnsi="Times New Roman" w:cs="Times New Roman"/>
          <w:sz w:val="24"/>
          <w:szCs w:val="24"/>
        </w:rPr>
        <w:t xml:space="preserve">e protection against torture creates new avenues for legal enforcement, as well as redress and reparations for victims. </w:t>
      </w:r>
      <w:r w:rsidR="00ED2092">
        <w:rPr>
          <w:rFonts w:ascii="Times New Roman" w:hAnsi="Times New Roman" w:cs="Times New Roman"/>
          <w:sz w:val="24"/>
          <w:szCs w:val="24"/>
        </w:rPr>
        <w:t xml:space="preserve"> G</w:t>
      </w:r>
      <w:r w:rsidR="001022B7" w:rsidRPr="00B57B6A">
        <w:rPr>
          <w:rFonts w:ascii="Times New Roman" w:hAnsi="Times New Roman" w:cs="Times New Roman"/>
          <w:sz w:val="24"/>
          <w:szCs w:val="24"/>
        </w:rPr>
        <w:t xml:space="preserve">overnments are obliged to redress abuses through actions that will support </w:t>
      </w:r>
      <w:r w:rsidR="00625420" w:rsidRPr="00B57B6A">
        <w:rPr>
          <w:rFonts w:ascii="Times New Roman" w:hAnsi="Times New Roman" w:cs="Times New Roman"/>
          <w:sz w:val="24"/>
          <w:szCs w:val="24"/>
        </w:rPr>
        <w:t xml:space="preserve">return to a family </w:t>
      </w:r>
      <w:r w:rsidR="001022B7" w:rsidRPr="00B57B6A">
        <w:rPr>
          <w:rFonts w:ascii="Times New Roman" w:hAnsi="Times New Roman" w:cs="Times New Roman"/>
          <w:sz w:val="24"/>
          <w:szCs w:val="24"/>
        </w:rPr>
        <w:t xml:space="preserve">and reintegration into society.  </w:t>
      </w:r>
      <w:r w:rsidR="00AD6C36">
        <w:rPr>
          <w:rFonts w:ascii="Times New Roman" w:hAnsi="Times New Roman" w:cs="Times New Roman"/>
          <w:sz w:val="24"/>
          <w:szCs w:val="24"/>
        </w:rPr>
        <w:t>T</w:t>
      </w:r>
      <w:r w:rsidR="00AD6C36" w:rsidRPr="00B57B6A">
        <w:rPr>
          <w:rFonts w:ascii="Times New Roman" w:hAnsi="Times New Roman" w:cs="Times New Roman"/>
          <w:sz w:val="24"/>
          <w:szCs w:val="24"/>
        </w:rPr>
        <w:t>he Méndez Report provides guidance to governments and international development agencies on ways to address the urgent concerns of millions of children who are now detained in institutions – or who are at risk of such detention.</w:t>
      </w:r>
    </w:p>
    <w:p w14:paraId="3C3C3832" w14:textId="661B6B42" w:rsidR="00814DD6" w:rsidRDefault="001022B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I</w:t>
      </w:r>
      <w:r w:rsidR="00814DD6" w:rsidRPr="00B57B6A">
        <w:rPr>
          <w:rFonts w:ascii="Times New Roman" w:hAnsi="Times New Roman" w:cs="Times New Roman"/>
          <w:sz w:val="24"/>
          <w:szCs w:val="24"/>
        </w:rPr>
        <w:t xml:space="preserve">n a world of burgeoning migration and refugee flows and tightening borders, the </w:t>
      </w:r>
      <w:r w:rsidR="00F467E9" w:rsidRPr="00B57B6A">
        <w:rPr>
          <w:rFonts w:ascii="Times New Roman" w:hAnsi="Times New Roman" w:cs="Times New Roman"/>
          <w:sz w:val="24"/>
          <w:szCs w:val="24"/>
        </w:rPr>
        <w:t>Méndez</w:t>
      </w:r>
      <w:r w:rsidR="00814DD6" w:rsidRPr="00B57B6A">
        <w:rPr>
          <w:rFonts w:ascii="Times New Roman" w:hAnsi="Times New Roman" w:cs="Times New Roman"/>
          <w:sz w:val="24"/>
          <w:szCs w:val="24"/>
        </w:rPr>
        <w:t xml:space="preserve"> Report on Children in Detention is also a major contribution because it directs special attention to the dangers of detaining children based on their immigration status.</w:t>
      </w:r>
      <w:r w:rsidR="00B621E0" w:rsidRPr="00B57B6A">
        <w:rPr>
          <w:rStyle w:val="FootnoteReference"/>
          <w:rFonts w:ascii="Times New Roman" w:hAnsi="Times New Roman" w:cs="Times New Roman"/>
          <w:sz w:val="24"/>
          <w:szCs w:val="24"/>
        </w:rPr>
        <w:footnoteReference w:id="21"/>
      </w:r>
      <w:r w:rsidR="00B621E0" w:rsidRPr="00B57B6A">
        <w:rPr>
          <w:rFonts w:ascii="Times New Roman" w:hAnsi="Times New Roman" w:cs="Times New Roman"/>
          <w:sz w:val="24"/>
          <w:szCs w:val="24"/>
        </w:rPr>
        <w:t xml:space="preserve"> </w:t>
      </w:r>
      <w:r w:rsidR="00814DD6" w:rsidRPr="00B57B6A">
        <w:rPr>
          <w:rFonts w:ascii="Times New Roman" w:hAnsi="Times New Roman" w:cs="Times New Roman"/>
          <w:sz w:val="24"/>
          <w:szCs w:val="24"/>
        </w:rPr>
        <w:t xml:space="preserve">The </w:t>
      </w:r>
      <w:r w:rsidR="00F467E9" w:rsidRPr="00B57B6A">
        <w:rPr>
          <w:rFonts w:ascii="Times New Roman" w:hAnsi="Times New Roman" w:cs="Times New Roman"/>
          <w:sz w:val="24"/>
          <w:szCs w:val="24"/>
        </w:rPr>
        <w:t>Méndez</w:t>
      </w:r>
      <w:r w:rsidR="00814DD6" w:rsidRPr="00B57B6A">
        <w:rPr>
          <w:rFonts w:ascii="Times New Roman" w:hAnsi="Times New Roman" w:cs="Times New Roman"/>
          <w:sz w:val="24"/>
          <w:szCs w:val="24"/>
        </w:rPr>
        <w:t xml:space="preserve"> report calls for an immediate end to the practice of immigration detention.</w:t>
      </w:r>
      <w:r w:rsidR="00814DD6" w:rsidRPr="00B57B6A">
        <w:rPr>
          <w:rStyle w:val="FootnoteReference"/>
          <w:rFonts w:ascii="Times New Roman" w:hAnsi="Times New Roman" w:cs="Times New Roman"/>
          <w:sz w:val="24"/>
          <w:szCs w:val="24"/>
        </w:rPr>
        <w:footnoteReference w:id="22"/>
      </w:r>
      <w:r w:rsidR="00814DD6" w:rsidRPr="00B57B6A">
        <w:rPr>
          <w:rFonts w:ascii="Times New Roman" w:hAnsi="Times New Roman" w:cs="Times New Roman"/>
          <w:sz w:val="24"/>
          <w:szCs w:val="24"/>
        </w:rPr>
        <w:t xml:space="preserve"> </w:t>
      </w:r>
      <w:r w:rsidR="00573CE0" w:rsidRPr="00B57B6A">
        <w:rPr>
          <w:rFonts w:ascii="Times New Roman" w:hAnsi="Times New Roman" w:cs="Times New Roman"/>
          <w:sz w:val="24"/>
          <w:szCs w:val="24"/>
        </w:rPr>
        <w:t xml:space="preserve">The same legal grounds that allowed </w:t>
      </w:r>
      <w:r w:rsidR="00573CE0" w:rsidRPr="00B57B6A">
        <w:rPr>
          <w:rFonts w:ascii="Times New Roman" w:hAnsi="Times New Roman" w:cs="Times New Roman"/>
          <w:sz w:val="24"/>
          <w:szCs w:val="24"/>
        </w:rPr>
        <w:lastRenderedPageBreak/>
        <w:t>the Special Rapporteur on Torture to call for an end to placement of children in immigration detention can and should also apply to all other children.</w:t>
      </w:r>
      <w:r w:rsidRPr="00B57B6A">
        <w:rPr>
          <w:rFonts w:ascii="Times New Roman" w:hAnsi="Times New Roman" w:cs="Times New Roman"/>
          <w:sz w:val="24"/>
          <w:szCs w:val="24"/>
        </w:rPr>
        <w:t xml:space="preserve"> </w:t>
      </w:r>
      <w:r w:rsidR="00573CE0" w:rsidRPr="00B57B6A">
        <w:rPr>
          <w:rFonts w:ascii="Times New Roman" w:hAnsi="Times New Roman" w:cs="Times New Roman"/>
          <w:sz w:val="24"/>
          <w:szCs w:val="24"/>
        </w:rPr>
        <w:t>This article argues that the duty to protect against torture and segregation provides a legal mandate to end all institutionalization of children.</w:t>
      </w:r>
    </w:p>
    <w:p w14:paraId="0F57219E" w14:textId="4BFCCD88" w:rsidR="00340147" w:rsidRPr="00B57B6A" w:rsidRDefault="009F1A98" w:rsidP="00EB136D">
      <w:pPr>
        <w:pStyle w:val="Heading1"/>
        <w:numPr>
          <w:ilvl w:val="0"/>
          <w:numId w:val="35"/>
        </w:numPr>
        <w:spacing w:line="240" w:lineRule="auto"/>
        <w:rPr>
          <w:rFonts w:ascii="Times New Roman" w:hAnsi="Times New Roman" w:cs="Times New Roman"/>
          <w:sz w:val="24"/>
          <w:szCs w:val="24"/>
        </w:rPr>
      </w:pPr>
      <w:bookmarkStart w:id="14" w:name="_Toc471468465"/>
      <w:r w:rsidRPr="00B57B6A">
        <w:rPr>
          <w:rFonts w:ascii="Times New Roman" w:hAnsi="Times New Roman" w:cs="Times New Roman"/>
          <w:sz w:val="24"/>
          <w:szCs w:val="24"/>
        </w:rPr>
        <w:t xml:space="preserve">Scope of the </w:t>
      </w:r>
      <w:r w:rsidR="0049481B" w:rsidRPr="00B57B6A">
        <w:rPr>
          <w:rFonts w:ascii="Times New Roman" w:hAnsi="Times New Roman" w:cs="Times New Roman"/>
          <w:sz w:val="24"/>
          <w:szCs w:val="24"/>
        </w:rPr>
        <w:t>Méndez Report</w:t>
      </w:r>
      <w:bookmarkEnd w:id="14"/>
    </w:p>
    <w:p w14:paraId="1AB73097" w14:textId="64E48A15" w:rsidR="006C1AF3" w:rsidRDefault="00D4792C" w:rsidP="00F15AED">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w:t>
      </w:r>
      <w:r w:rsidR="007A5B7A" w:rsidRPr="00B57B6A">
        <w:rPr>
          <w:rFonts w:ascii="Times New Roman" w:hAnsi="Times New Roman" w:cs="Times New Roman"/>
          <w:sz w:val="24"/>
          <w:szCs w:val="24"/>
        </w:rPr>
        <w:t>Méndez</w:t>
      </w:r>
      <w:r w:rsidRPr="00B57B6A">
        <w:rPr>
          <w:rFonts w:ascii="Times New Roman" w:hAnsi="Times New Roman" w:cs="Times New Roman"/>
          <w:sz w:val="24"/>
          <w:szCs w:val="24"/>
        </w:rPr>
        <w:t xml:space="preserve"> Report applies the </w:t>
      </w:r>
      <w:r w:rsidR="00BA146B">
        <w:rPr>
          <w:rFonts w:ascii="Times New Roman" w:hAnsi="Times New Roman" w:cs="Times New Roman"/>
          <w:sz w:val="24"/>
          <w:szCs w:val="24"/>
        </w:rPr>
        <w:t>Torture S</w:t>
      </w:r>
      <w:r w:rsidR="00C9751F">
        <w:rPr>
          <w:rFonts w:ascii="Times New Roman" w:hAnsi="Times New Roman" w:cs="Times New Roman"/>
          <w:sz w:val="24"/>
          <w:szCs w:val="24"/>
        </w:rPr>
        <w:t xml:space="preserve">tandard </w:t>
      </w:r>
      <w:r w:rsidRPr="00B57B6A">
        <w:rPr>
          <w:rFonts w:ascii="Times New Roman" w:hAnsi="Times New Roman" w:cs="Times New Roman"/>
          <w:sz w:val="24"/>
          <w:szCs w:val="24"/>
        </w:rPr>
        <w:t>to placement in institutions o</w:t>
      </w:r>
      <w:r w:rsidR="0053130A" w:rsidRPr="00B57B6A">
        <w:rPr>
          <w:rFonts w:ascii="Times New Roman" w:hAnsi="Times New Roman" w:cs="Times New Roman"/>
          <w:sz w:val="24"/>
          <w:szCs w:val="24"/>
        </w:rPr>
        <w:t>f</w:t>
      </w:r>
      <w:r w:rsidRPr="00B57B6A">
        <w:rPr>
          <w:rFonts w:ascii="Times New Roman" w:hAnsi="Times New Roman" w:cs="Times New Roman"/>
          <w:sz w:val="24"/>
          <w:szCs w:val="24"/>
        </w:rPr>
        <w:t xml:space="preserve"> every kind.  This arti</w:t>
      </w:r>
      <w:r w:rsidR="0049481B" w:rsidRPr="00B57B6A">
        <w:rPr>
          <w:rFonts w:ascii="Times New Roman" w:hAnsi="Times New Roman" w:cs="Times New Roman"/>
          <w:sz w:val="24"/>
          <w:szCs w:val="24"/>
        </w:rPr>
        <w:t xml:space="preserve">cle </w:t>
      </w:r>
      <w:r w:rsidR="00A66726" w:rsidRPr="00B57B6A">
        <w:rPr>
          <w:rFonts w:ascii="Times New Roman" w:hAnsi="Times New Roman" w:cs="Times New Roman"/>
          <w:sz w:val="24"/>
          <w:szCs w:val="24"/>
        </w:rPr>
        <w:t xml:space="preserve">focuses on the significance of the Méndez Report for all kinds of institutions </w:t>
      </w:r>
      <w:r w:rsidR="00F30B65">
        <w:rPr>
          <w:rFonts w:ascii="Times New Roman" w:hAnsi="Times New Roman" w:cs="Times New Roman"/>
          <w:sz w:val="24"/>
          <w:szCs w:val="24"/>
        </w:rPr>
        <w:t>outside</w:t>
      </w:r>
      <w:r w:rsidR="00A66726" w:rsidRPr="00B57B6A">
        <w:rPr>
          <w:rFonts w:ascii="Times New Roman" w:hAnsi="Times New Roman" w:cs="Times New Roman"/>
          <w:sz w:val="24"/>
          <w:szCs w:val="24"/>
        </w:rPr>
        <w:t xml:space="preserve"> the criminal justice system. The term “institution” as used in this article, as in the Méndez Report,</w:t>
      </w:r>
      <w:r w:rsidR="0049481B" w:rsidRPr="00B57B6A">
        <w:rPr>
          <w:rFonts w:ascii="Times New Roman" w:hAnsi="Times New Roman" w:cs="Times New Roman"/>
          <w:sz w:val="24"/>
          <w:szCs w:val="24"/>
        </w:rPr>
        <w:t xml:space="preserve"> </w:t>
      </w:r>
      <w:r w:rsidR="00FF1AB6" w:rsidRPr="00B57B6A">
        <w:rPr>
          <w:rFonts w:ascii="Times New Roman" w:hAnsi="Times New Roman" w:cs="Times New Roman"/>
          <w:sz w:val="24"/>
          <w:szCs w:val="24"/>
        </w:rPr>
        <w:t xml:space="preserve">includes orphanages, psychiatric facilities, nursing homes, or any other form of </w:t>
      </w:r>
      <w:r w:rsidR="00194E22" w:rsidRPr="00B57B6A">
        <w:rPr>
          <w:rFonts w:ascii="Times New Roman" w:hAnsi="Times New Roman" w:cs="Times New Roman"/>
          <w:sz w:val="24"/>
          <w:szCs w:val="24"/>
        </w:rPr>
        <w:t xml:space="preserve">residential care or </w:t>
      </w:r>
      <w:r w:rsidR="00FF1AB6" w:rsidRPr="00B57B6A">
        <w:rPr>
          <w:rFonts w:ascii="Times New Roman" w:hAnsi="Times New Roman" w:cs="Times New Roman"/>
          <w:sz w:val="24"/>
          <w:szCs w:val="24"/>
        </w:rPr>
        <w:t>custodi</w:t>
      </w:r>
      <w:r w:rsidR="00FB1EE5" w:rsidRPr="00B57B6A">
        <w:rPr>
          <w:rFonts w:ascii="Times New Roman" w:hAnsi="Times New Roman" w:cs="Times New Roman"/>
          <w:sz w:val="24"/>
          <w:szCs w:val="24"/>
        </w:rPr>
        <w:t>al facilities</w:t>
      </w:r>
      <w:r w:rsidR="00FF1AB6" w:rsidRPr="00B57B6A">
        <w:rPr>
          <w:rFonts w:ascii="Times New Roman" w:hAnsi="Times New Roman" w:cs="Times New Roman"/>
          <w:sz w:val="24"/>
          <w:szCs w:val="24"/>
        </w:rPr>
        <w:t>.</w:t>
      </w:r>
      <w:bookmarkStart w:id="15" w:name="_Ref465943512"/>
      <w:r w:rsidR="00A66726" w:rsidRPr="00B57B6A">
        <w:rPr>
          <w:rStyle w:val="FootnoteReference"/>
          <w:rFonts w:ascii="Times New Roman" w:hAnsi="Times New Roman" w:cs="Times New Roman"/>
          <w:sz w:val="24"/>
          <w:szCs w:val="24"/>
        </w:rPr>
        <w:footnoteReference w:id="23"/>
      </w:r>
      <w:bookmarkEnd w:id="15"/>
      <w:r w:rsidR="00FF1AB6" w:rsidRPr="00B57B6A">
        <w:rPr>
          <w:rFonts w:ascii="Times New Roman" w:hAnsi="Times New Roman" w:cs="Times New Roman"/>
          <w:sz w:val="24"/>
          <w:szCs w:val="24"/>
        </w:rPr>
        <w:t xml:space="preserve"> </w:t>
      </w:r>
      <w:r w:rsidR="00F305B4" w:rsidRPr="00B57B6A">
        <w:rPr>
          <w:rFonts w:ascii="Times New Roman" w:hAnsi="Times New Roman" w:cs="Times New Roman"/>
          <w:sz w:val="24"/>
          <w:szCs w:val="24"/>
        </w:rPr>
        <w:t>Some international standards, including the</w:t>
      </w:r>
      <w:r w:rsidR="009F1A98" w:rsidRPr="00B57B6A">
        <w:rPr>
          <w:rFonts w:ascii="Times New Roman" w:hAnsi="Times New Roman" w:cs="Times New Roman"/>
          <w:sz w:val="24"/>
          <w:szCs w:val="24"/>
        </w:rPr>
        <w:t xml:space="preserve"> </w:t>
      </w:r>
      <w:r w:rsidR="00FF1AB6" w:rsidRPr="00B57B6A">
        <w:rPr>
          <w:rFonts w:ascii="Times New Roman" w:hAnsi="Times New Roman" w:cs="Times New Roman"/>
          <w:sz w:val="24"/>
          <w:szCs w:val="24"/>
        </w:rPr>
        <w:t>UN Guidelines for the Al</w:t>
      </w:r>
      <w:r w:rsidR="009F1A98" w:rsidRPr="00B57B6A">
        <w:rPr>
          <w:rFonts w:ascii="Times New Roman" w:hAnsi="Times New Roman" w:cs="Times New Roman"/>
          <w:sz w:val="24"/>
          <w:szCs w:val="24"/>
        </w:rPr>
        <w:t>ternative Care of Children</w:t>
      </w:r>
      <w:r w:rsidR="00894FC8">
        <w:rPr>
          <w:rFonts w:ascii="Times New Roman" w:hAnsi="Times New Roman" w:cs="Times New Roman"/>
          <w:sz w:val="24"/>
          <w:szCs w:val="24"/>
        </w:rPr>
        <w:t xml:space="preserve"> (Guidelines for Alternative Care)</w:t>
      </w:r>
      <w:r w:rsidR="00FF1AB6" w:rsidRPr="00B57B6A">
        <w:rPr>
          <w:rFonts w:ascii="Times New Roman" w:hAnsi="Times New Roman" w:cs="Times New Roman"/>
          <w:sz w:val="24"/>
          <w:szCs w:val="24"/>
        </w:rPr>
        <w:t xml:space="preserve"> </w:t>
      </w:r>
      <w:r w:rsidR="009F1A98" w:rsidRPr="00B57B6A">
        <w:rPr>
          <w:rFonts w:ascii="Times New Roman" w:hAnsi="Times New Roman" w:cs="Times New Roman"/>
          <w:sz w:val="24"/>
          <w:szCs w:val="24"/>
        </w:rPr>
        <w:t>distinguish between “</w:t>
      </w:r>
      <w:r w:rsidR="00FF1AB6" w:rsidRPr="00B57B6A">
        <w:rPr>
          <w:rFonts w:ascii="Times New Roman" w:hAnsi="Times New Roman" w:cs="Times New Roman"/>
          <w:sz w:val="24"/>
          <w:szCs w:val="24"/>
        </w:rPr>
        <w:t>institutions</w:t>
      </w:r>
      <w:r w:rsidR="009F1A98" w:rsidRPr="00B57B6A">
        <w:rPr>
          <w:rFonts w:ascii="Times New Roman" w:hAnsi="Times New Roman" w:cs="Times New Roman"/>
          <w:sz w:val="24"/>
          <w:szCs w:val="24"/>
        </w:rPr>
        <w:t>”</w:t>
      </w:r>
      <w:r w:rsidR="00FF1AB6" w:rsidRPr="00B57B6A">
        <w:rPr>
          <w:rFonts w:ascii="Times New Roman" w:hAnsi="Times New Roman" w:cs="Times New Roman"/>
          <w:sz w:val="24"/>
          <w:szCs w:val="24"/>
        </w:rPr>
        <w:t xml:space="preserve"> </w:t>
      </w:r>
      <w:r w:rsidR="008A259B" w:rsidRPr="00B57B6A">
        <w:rPr>
          <w:rFonts w:ascii="Times New Roman" w:hAnsi="Times New Roman" w:cs="Times New Roman"/>
          <w:sz w:val="24"/>
          <w:szCs w:val="24"/>
        </w:rPr>
        <w:t xml:space="preserve">(which must be eliminated over time) </w:t>
      </w:r>
      <w:r w:rsidR="00FF1AB6" w:rsidRPr="00B57B6A">
        <w:rPr>
          <w:rFonts w:ascii="Times New Roman" w:hAnsi="Times New Roman" w:cs="Times New Roman"/>
          <w:sz w:val="24"/>
          <w:szCs w:val="24"/>
        </w:rPr>
        <w:t xml:space="preserve">and </w:t>
      </w:r>
      <w:r w:rsidR="00194E22" w:rsidRPr="00B57B6A">
        <w:rPr>
          <w:rFonts w:ascii="Times New Roman" w:hAnsi="Times New Roman" w:cs="Times New Roman"/>
          <w:sz w:val="24"/>
          <w:szCs w:val="24"/>
        </w:rPr>
        <w:t>“residential care</w:t>
      </w:r>
      <w:r w:rsidR="009F1A98" w:rsidRPr="00B57B6A">
        <w:rPr>
          <w:rFonts w:ascii="Times New Roman" w:hAnsi="Times New Roman" w:cs="Times New Roman"/>
          <w:sz w:val="24"/>
          <w:szCs w:val="24"/>
        </w:rPr>
        <w:t>”</w:t>
      </w:r>
      <w:r w:rsidR="008A259B" w:rsidRPr="00B57B6A">
        <w:rPr>
          <w:rFonts w:ascii="Times New Roman" w:hAnsi="Times New Roman" w:cs="Times New Roman"/>
          <w:sz w:val="24"/>
          <w:szCs w:val="24"/>
        </w:rPr>
        <w:t xml:space="preserve"> (smaller facilities that are considered acceptable).</w:t>
      </w:r>
      <w:r w:rsidR="008A259B" w:rsidRPr="00B57B6A">
        <w:rPr>
          <w:rStyle w:val="FootnoteReference"/>
          <w:rFonts w:ascii="Times New Roman" w:hAnsi="Times New Roman" w:cs="Times New Roman"/>
          <w:sz w:val="24"/>
          <w:szCs w:val="24"/>
        </w:rPr>
        <w:t xml:space="preserve"> </w:t>
      </w:r>
      <w:r w:rsidR="008A259B" w:rsidRPr="00B57B6A">
        <w:rPr>
          <w:rStyle w:val="FootnoteReference"/>
          <w:rFonts w:ascii="Times New Roman" w:hAnsi="Times New Roman" w:cs="Times New Roman"/>
          <w:sz w:val="24"/>
          <w:szCs w:val="24"/>
        </w:rPr>
        <w:footnoteReference w:id="24"/>
      </w:r>
      <w:r w:rsidR="008A259B" w:rsidRPr="00B57B6A">
        <w:rPr>
          <w:rFonts w:ascii="Times New Roman" w:hAnsi="Times New Roman" w:cs="Times New Roman"/>
          <w:sz w:val="24"/>
          <w:szCs w:val="24"/>
        </w:rPr>
        <w:t xml:space="preserve"> Unless otherwise noted, t</w:t>
      </w:r>
      <w:r w:rsidR="00FB1EE5" w:rsidRPr="00B57B6A">
        <w:rPr>
          <w:rFonts w:ascii="Times New Roman" w:hAnsi="Times New Roman" w:cs="Times New Roman"/>
          <w:sz w:val="24"/>
          <w:szCs w:val="24"/>
        </w:rPr>
        <w:t>he term “institution” in this article</w:t>
      </w:r>
      <w:r w:rsidR="008A259B" w:rsidRPr="00B57B6A">
        <w:rPr>
          <w:rFonts w:ascii="Times New Roman" w:hAnsi="Times New Roman" w:cs="Times New Roman"/>
          <w:sz w:val="24"/>
          <w:szCs w:val="24"/>
        </w:rPr>
        <w:t xml:space="preserve"> </w:t>
      </w:r>
      <w:r w:rsidR="00FB1EE5" w:rsidRPr="00B57B6A">
        <w:rPr>
          <w:rFonts w:ascii="Times New Roman" w:hAnsi="Times New Roman" w:cs="Times New Roman"/>
          <w:sz w:val="24"/>
          <w:szCs w:val="24"/>
        </w:rPr>
        <w:t xml:space="preserve">refers </w:t>
      </w:r>
      <w:r w:rsidR="00F305B4" w:rsidRPr="00B57B6A">
        <w:rPr>
          <w:rFonts w:ascii="Times New Roman" w:hAnsi="Times New Roman" w:cs="Times New Roman"/>
          <w:sz w:val="24"/>
          <w:szCs w:val="24"/>
        </w:rPr>
        <w:t xml:space="preserve">broadly </w:t>
      </w:r>
      <w:r w:rsidR="00FB1EE5" w:rsidRPr="00B57B6A">
        <w:rPr>
          <w:rFonts w:ascii="Times New Roman" w:hAnsi="Times New Roman" w:cs="Times New Roman"/>
          <w:sz w:val="24"/>
          <w:szCs w:val="24"/>
        </w:rPr>
        <w:t xml:space="preserve">to any </w:t>
      </w:r>
      <w:r w:rsidR="00F15AED">
        <w:rPr>
          <w:rFonts w:ascii="Times New Roman" w:hAnsi="Times New Roman" w:cs="Times New Roman"/>
          <w:sz w:val="24"/>
          <w:szCs w:val="24"/>
        </w:rPr>
        <w:t xml:space="preserve">residential </w:t>
      </w:r>
      <w:r w:rsidR="00FB1EE5" w:rsidRPr="00B57B6A">
        <w:rPr>
          <w:rFonts w:ascii="Times New Roman" w:hAnsi="Times New Roman" w:cs="Times New Roman"/>
          <w:sz w:val="24"/>
          <w:szCs w:val="24"/>
        </w:rPr>
        <w:t>placement other than family-based care.</w:t>
      </w:r>
      <w:r w:rsidR="00F15AED" w:rsidRPr="00F15AED">
        <w:rPr>
          <w:rFonts w:ascii="Times New Roman" w:hAnsi="Times New Roman" w:cs="Times New Roman"/>
          <w:sz w:val="24"/>
          <w:szCs w:val="24"/>
        </w:rPr>
        <w:t xml:space="preserve"> </w:t>
      </w:r>
    </w:p>
    <w:p w14:paraId="58922D7A" w14:textId="5731A9CD" w:rsidR="00F15AED" w:rsidRPr="00B57B6A" w:rsidRDefault="00F15AED" w:rsidP="00F15AED">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This article </w:t>
      </w:r>
      <w:r>
        <w:rPr>
          <w:rFonts w:ascii="Times New Roman" w:hAnsi="Times New Roman" w:cs="Times New Roman"/>
          <w:sz w:val="24"/>
          <w:szCs w:val="24"/>
        </w:rPr>
        <w:t>employ</w:t>
      </w:r>
      <w:r w:rsidRPr="00B57B6A">
        <w:rPr>
          <w:rFonts w:ascii="Times New Roman" w:hAnsi="Times New Roman" w:cs="Times New Roman"/>
          <w:sz w:val="24"/>
          <w:szCs w:val="24"/>
        </w:rPr>
        <w:t xml:space="preserve">s the common term “orphanage” interchangeably with “institution” </w:t>
      </w:r>
      <w:r>
        <w:rPr>
          <w:rFonts w:ascii="Times New Roman" w:hAnsi="Times New Roman" w:cs="Times New Roman"/>
          <w:sz w:val="24"/>
          <w:szCs w:val="24"/>
        </w:rPr>
        <w:t>because these terms are popularly used – whether accurate or not.</w:t>
      </w:r>
      <w:bookmarkStart w:id="16" w:name="_Ref471308786"/>
      <w:r w:rsidR="00B668ED" w:rsidRPr="00B668ED">
        <w:rPr>
          <w:rStyle w:val="FootnoteReference"/>
          <w:rFonts w:ascii="Times New Roman" w:hAnsi="Times New Roman" w:cs="Times New Roman"/>
          <w:sz w:val="24"/>
          <w:szCs w:val="24"/>
        </w:rPr>
        <w:t xml:space="preserve"> </w:t>
      </w:r>
      <w:r w:rsidR="00B668ED">
        <w:rPr>
          <w:rStyle w:val="FootnoteReference"/>
          <w:rFonts w:ascii="Times New Roman" w:hAnsi="Times New Roman" w:cs="Times New Roman"/>
          <w:sz w:val="24"/>
          <w:szCs w:val="24"/>
        </w:rPr>
        <w:footnoteReference w:id="25"/>
      </w:r>
      <w:bookmarkEnd w:id="16"/>
      <w:r w:rsidR="00B668ED" w:rsidRPr="00F15A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57B6A">
        <w:rPr>
          <w:rFonts w:ascii="Times New Roman" w:hAnsi="Times New Roman" w:cs="Times New Roman"/>
          <w:sz w:val="24"/>
          <w:szCs w:val="24"/>
        </w:rPr>
        <w:t>In practice, the term “orphanage” is usually a misnomer because the vast majority of children in these facilities have at least one living parent – not to mention extended family.</w:t>
      </w:r>
      <w:r w:rsidRPr="00B57B6A">
        <w:rPr>
          <w:rFonts w:ascii="Times New Roman" w:hAnsi="Times New Roman" w:cs="Times New Roman"/>
          <w:sz w:val="24"/>
          <w:szCs w:val="24"/>
          <w:vertAlign w:val="superscript"/>
        </w:rPr>
        <w:footnoteReference w:id="26"/>
      </w:r>
      <w:r w:rsidRPr="00B57B6A">
        <w:rPr>
          <w:rFonts w:ascii="Times New Roman" w:hAnsi="Times New Roman" w:cs="Times New Roman"/>
          <w:sz w:val="24"/>
          <w:szCs w:val="24"/>
        </w:rPr>
        <w:t xml:space="preserve"> This article </w:t>
      </w:r>
      <w:r>
        <w:rPr>
          <w:rFonts w:ascii="Times New Roman" w:hAnsi="Times New Roman" w:cs="Times New Roman"/>
          <w:sz w:val="24"/>
          <w:szCs w:val="24"/>
        </w:rPr>
        <w:t xml:space="preserve">uses this common terminology </w:t>
      </w:r>
      <w:r>
        <w:rPr>
          <w:rFonts w:ascii="Times New Roman" w:hAnsi="Times New Roman" w:cs="Times New Roman"/>
          <w:sz w:val="24"/>
          <w:szCs w:val="24"/>
        </w:rPr>
        <w:lastRenderedPageBreak/>
        <w:t xml:space="preserve">because the article </w:t>
      </w:r>
      <w:r w:rsidRPr="00B57B6A">
        <w:rPr>
          <w:rFonts w:ascii="Times New Roman" w:hAnsi="Times New Roman" w:cs="Times New Roman"/>
          <w:sz w:val="24"/>
          <w:szCs w:val="24"/>
        </w:rPr>
        <w:t xml:space="preserve">is meant to address policies and practices of governments and donors who support facilities they think of as orphanages. </w:t>
      </w:r>
    </w:p>
    <w:p w14:paraId="130A024F" w14:textId="3C65B97E" w:rsidR="0049481B" w:rsidRPr="00B57B6A" w:rsidRDefault="0049481B" w:rsidP="00EB136D">
      <w:pPr>
        <w:pStyle w:val="Heading2"/>
        <w:numPr>
          <w:ilvl w:val="0"/>
          <w:numId w:val="34"/>
        </w:numPr>
        <w:spacing w:line="240" w:lineRule="auto"/>
        <w:rPr>
          <w:rFonts w:ascii="Times New Roman" w:hAnsi="Times New Roman" w:cs="Times New Roman"/>
          <w:sz w:val="24"/>
          <w:szCs w:val="24"/>
        </w:rPr>
      </w:pPr>
      <w:bookmarkStart w:id="17" w:name="_Toc471468466"/>
      <w:r w:rsidRPr="00B57B6A">
        <w:rPr>
          <w:rFonts w:ascii="Times New Roman" w:hAnsi="Times New Roman" w:cs="Times New Roman"/>
          <w:sz w:val="24"/>
          <w:szCs w:val="24"/>
        </w:rPr>
        <w:t>Application to orphanages and other institutions</w:t>
      </w:r>
      <w:bookmarkEnd w:id="17"/>
    </w:p>
    <w:p w14:paraId="12F7C4CD" w14:textId="15C269C1" w:rsidR="00E265DD" w:rsidRPr="00B57B6A" w:rsidRDefault="00FF1AB6"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Cu</w:t>
      </w:r>
      <w:r w:rsidR="00340147" w:rsidRPr="00B57B6A">
        <w:rPr>
          <w:rFonts w:ascii="Times New Roman" w:hAnsi="Times New Roman" w:cs="Times New Roman"/>
          <w:sz w:val="24"/>
          <w:szCs w:val="24"/>
        </w:rPr>
        <w:t>stodial facilitie</w:t>
      </w:r>
      <w:r w:rsidR="00C36D09" w:rsidRPr="00B57B6A">
        <w:rPr>
          <w:rFonts w:ascii="Times New Roman" w:hAnsi="Times New Roman" w:cs="Times New Roman"/>
          <w:sz w:val="24"/>
          <w:szCs w:val="24"/>
        </w:rPr>
        <w:t xml:space="preserve">s commonly known as “orphanages” </w:t>
      </w:r>
      <w:r w:rsidR="00702E11">
        <w:rPr>
          <w:rFonts w:ascii="Times New Roman" w:hAnsi="Times New Roman" w:cs="Times New Roman"/>
          <w:sz w:val="24"/>
          <w:szCs w:val="24"/>
        </w:rPr>
        <w:t xml:space="preserve">or “institutions” </w:t>
      </w:r>
      <w:r w:rsidR="00C36D09" w:rsidRPr="00B57B6A">
        <w:rPr>
          <w:rFonts w:ascii="Times New Roman" w:hAnsi="Times New Roman" w:cs="Times New Roman"/>
          <w:sz w:val="24"/>
          <w:szCs w:val="24"/>
        </w:rPr>
        <w:t>are not usually</w:t>
      </w:r>
      <w:r w:rsidR="00340147" w:rsidRPr="00B57B6A">
        <w:rPr>
          <w:rFonts w:ascii="Times New Roman" w:hAnsi="Times New Roman" w:cs="Times New Roman"/>
          <w:sz w:val="24"/>
          <w:szCs w:val="24"/>
        </w:rPr>
        <w:t xml:space="preserve"> thought of as “places of detention,” </w:t>
      </w:r>
      <w:r w:rsidRPr="00B57B6A">
        <w:rPr>
          <w:rFonts w:ascii="Times New Roman" w:hAnsi="Times New Roman" w:cs="Times New Roman"/>
          <w:sz w:val="24"/>
          <w:szCs w:val="24"/>
        </w:rPr>
        <w:t xml:space="preserve">but </w:t>
      </w:r>
      <w:r w:rsidR="00340147" w:rsidRPr="00B57B6A">
        <w:rPr>
          <w:rFonts w:ascii="Times New Roman" w:hAnsi="Times New Roman" w:cs="Times New Roman"/>
          <w:sz w:val="24"/>
          <w:szCs w:val="24"/>
        </w:rPr>
        <w:t xml:space="preserve">they </w:t>
      </w:r>
      <w:r w:rsidR="0053130A" w:rsidRPr="00B57B6A">
        <w:rPr>
          <w:rFonts w:ascii="Times New Roman" w:hAnsi="Times New Roman" w:cs="Times New Roman"/>
          <w:sz w:val="24"/>
          <w:szCs w:val="24"/>
        </w:rPr>
        <w:t xml:space="preserve">should </w:t>
      </w:r>
      <w:r w:rsidR="00340147" w:rsidRPr="00B57B6A">
        <w:rPr>
          <w:rFonts w:ascii="Times New Roman" w:hAnsi="Times New Roman" w:cs="Times New Roman"/>
          <w:sz w:val="24"/>
          <w:szCs w:val="24"/>
        </w:rPr>
        <w:t xml:space="preserve">be recognized as such </w:t>
      </w:r>
      <w:r w:rsidRPr="00B57B6A">
        <w:rPr>
          <w:rFonts w:ascii="Times New Roman" w:hAnsi="Times New Roman" w:cs="Times New Roman"/>
          <w:sz w:val="24"/>
          <w:szCs w:val="24"/>
        </w:rPr>
        <w:t>under international law</w:t>
      </w:r>
      <w:r w:rsidR="006B45CD">
        <w:rPr>
          <w:rFonts w:ascii="Times New Roman" w:hAnsi="Times New Roman" w:cs="Times New Roman"/>
          <w:sz w:val="24"/>
          <w:szCs w:val="24"/>
        </w:rPr>
        <w:t>,</w:t>
      </w:r>
      <w:r w:rsidRPr="00B57B6A">
        <w:rPr>
          <w:rFonts w:ascii="Times New Roman" w:hAnsi="Times New Roman" w:cs="Times New Roman"/>
          <w:sz w:val="24"/>
          <w:szCs w:val="24"/>
        </w:rPr>
        <w:t xml:space="preserve"> </w:t>
      </w:r>
      <w:r w:rsidR="00340147" w:rsidRPr="00B57B6A">
        <w:rPr>
          <w:rFonts w:ascii="Times New Roman" w:hAnsi="Times New Roman" w:cs="Times New Roman"/>
          <w:sz w:val="24"/>
          <w:szCs w:val="24"/>
        </w:rPr>
        <w:t xml:space="preserve">and fall under the scope of </w:t>
      </w:r>
      <w:r w:rsidRPr="00B57B6A">
        <w:rPr>
          <w:rFonts w:ascii="Times New Roman" w:hAnsi="Times New Roman" w:cs="Times New Roman"/>
          <w:sz w:val="24"/>
          <w:szCs w:val="24"/>
        </w:rPr>
        <w:t xml:space="preserve">the </w:t>
      </w:r>
      <w:r w:rsidR="007A5B7A" w:rsidRPr="00B57B6A">
        <w:rPr>
          <w:rFonts w:ascii="Times New Roman" w:hAnsi="Times New Roman" w:cs="Times New Roman"/>
          <w:sz w:val="24"/>
          <w:szCs w:val="24"/>
        </w:rPr>
        <w:t>Méndez</w:t>
      </w:r>
      <w:r w:rsidRPr="00B57B6A">
        <w:rPr>
          <w:rFonts w:ascii="Times New Roman" w:hAnsi="Times New Roman" w:cs="Times New Roman"/>
          <w:sz w:val="24"/>
          <w:szCs w:val="24"/>
        </w:rPr>
        <w:t xml:space="preserve"> Report.</w:t>
      </w:r>
      <w:r w:rsidR="00702E11">
        <w:rPr>
          <w:rFonts w:ascii="Times New Roman" w:hAnsi="Times New Roman" w:cs="Times New Roman"/>
          <w:sz w:val="24"/>
          <w:szCs w:val="24"/>
        </w:rPr>
        <w:t xml:space="preserve"> </w:t>
      </w:r>
      <w:r w:rsidR="00340147" w:rsidRPr="00B57B6A">
        <w:rPr>
          <w:rFonts w:ascii="Times New Roman" w:hAnsi="Times New Roman" w:cs="Times New Roman"/>
          <w:sz w:val="24"/>
          <w:szCs w:val="24"/>
        </w:rPr>
        <w:t>The</w:t>
      </w:r>
      <w:r w:rsidRPr="00B57B6A">
        <w:rPr>
          <w:rFonts w:ascii="Times New Roman" w:hAnsi="Times New Roman" w:cs="Times New Roman"/>
          <w:sz w:val="24"/>
          <w:szCs w:val="24"/>
        </w:rPr>
        <w:t xml:space="preserve"> </w:t>
      </w:r>
      <w:r w:rsidR="007A5B7A" w:rsidRPr="00B57B6A">
        <w:rPr>
          <w:rFonts w:ascii="Times New Roman" w:hAnsi="Times New Roman" w:cs="Times New Roman"/>
          <w:sz w:val="24"/>
          <w:szCs w:val="24"/>
        </w:rPr>
        <w:t>Méndez</w:t>
      </w:r>
      <w:r w:rsidRPr="00B57B6A">
        <w:rPr>
          <w:rFonts w:ascii="Times New Roman" w:hAnsi="Times New Roman" w:cs="Times New Roman"/>
          <w:sz w:val="24"/>
          <w:szCs w:val="24"/>
        </w:rPr>
        <w:t xml:space="preserve"> Report </w:t>
      </w:r>
      <w:r w:rsidR="00340147" w:rsidRPr="00B57B6A">
        <w:rPr>
          <w:rFonts w:ascii="Times New Roman" w:hAnsi="Times New Roman" w:cs="Times New Roman"/>
          <w:sz w:val="24"/>
          <w:szCs w:val="24"/>
        </w:rPr>
        <w:t xml:space="preserve">states that </w:t>
      </w:r>
      <w:r w:rsidRPr="00B57B6A">
        <w:rPr>
          <w:rFonts w:ascii="Times New Roman" w:hAnsi="Times New Roman" w:cs="Times New Roman"/>
          <w:sz w:val="24"/>
          <w:szCs w:val="24"/>
        </w:rPr>
        <w:t xml:space="preserve">its </w:t>
      </w:r>
      <w:r w:rsidR="00340147" w:rsidRPr="00B57B6A">
        <w:rPr>
          <w:rFonts w:ascii="Times New Roman" w:hAnsi="Times New Roman" w:cs="Times New Roman"/>
          <w:sz w:val="24"/>
          <w:szCs w:val="24"/>
        </w:rPr>
        <w:t xml:space="preserve">findings and recommendations </w:t>
      </w:r>
      <w:r w:rsidRPr="00B57B6A">
        <w:rPr>
          <w:rFonts w:ascii="Times New Roman" w:hAnsi="Times New Roman" w:cs="Times New Roman"/>
          <w:sz w:val="24"/>
          <w:szCs w:val="24"/>
        </w:rPr>
        <w:t>a</w:t>
      </w:r>
      <w:r w:rsidR="00340147" w:rsidRPr="00B57B6A">
        <w:rPr>
          <w:rFonts w:ascii="Times New Roman" w:hAnsi="Times New Roman" w:cs="Times New Roman"/>
          <w:sz w:val="24"/>
          <w:szCs w:val="24"/>
        </w:rPr>
        <w:t>pply broadly to “any form of detention or imprisonment or the placement of a child in a public or private custodial setting where the child is not permitted to leave at will by order of any judicial, administrative or other authority.”</w:t>
      </w:r>
      <w:r w:rsidR="00340147" w:rsidRPr="00B57B6A">
        <w:rPr>
          <w:rFonts w:ascii="Times New Roman" w:hAnsi="Times New Roman" w:cs="Times New Roman"/>
          <w:sz w:val="24"/>
          <w:szCs w:val="24"/>
          <w:vertAlign w:val="superscript"/>
        </w:rPr>
        <w:footnoteReference w:id="27"/>
      </w:r>
      <w:r w:rsidR="00340147"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The UN Special Rapporteur </w:t>
      </w:r>
      <w:r w:rsidR="00340147" w:rsidRPr="00B57B6A">
        <w:rPr>
          <w:rFonts w:ascii="Times New Roman" w:hAnsi="Times New Roman" w:cs="Times New Roman"/>
          <w:sz w:val="24"/>
          <w:szCs w:val="24"/>
        </w:rPr>
        <w:t xml:space="preserve">refers explicitly to </w:t>
      </w:r>
      <w:r w:rsidRPr="00B57B6A">
        <w:rPr>
          <w:rFonts w:ascii="Times New Roman" w:hAnsi="Times New Roman" w:cs="Times New Roman"/>
          <w:sz w:val="24"/>
          <w:szCs w:val="24"/>
        </w:rPr>
        <w:t xml:space="preserve">health care institutions and other </w:t>
      </w:r>
      <w:r w:rsidR="00340147" w:rsidRPr="00B57B6A">
        <w:rPr>
          <w:rFonts w:ascii="Times New Roman" w:hAnsi="Times New Roman" w:cs="Times New Roman"/>
          <w:sz w:val="24"/>
          <w:szCs w:val="24"/>
        </w:rPr>
        <w:t>non-penal facilities in his report.</w:t>
      </w:r>
      <w:r w:rsidR="00340147" w:rsidRPr="00B57B6A">
        <w:rPr>
          <w:rFonts w:ascii="Times New Roman" w:hAnsi="Times New Roman" w:cs="Times New Roman"/>
          <w:sz w:val="24"/>
          <w:szCs w:val="24"/>
          <w:vertAlign w:val="superscript"/>
        </w:rPr>
        <w:footnoteReference w:id="28"/>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This is consistent with the requirements of the Guidelines for Alternative Care</w:t>
      </w:r>
      <w:r w:rsidR="008A259B" w:rsidRPr="00B57B6A">
        <w:rPr>
          <w:rFonts w:ascii="Times New Roman" w:hAnsi="Times New Roman" w:cs="Times New Roman"/>
          <w:sz w:val="24"/>
          <w:szCs w:val="24"/>
        </w:rPr>
        <w:t>,</w:t>
      </w:r>
      <w:r w:rsidRPr="00B57B6A">
        <w:rPr>
          <w:rFonts w:ascii="Times New Roman" w:hAnsi="Times New Roman" w:cs="Times New Roman"/>
          <w:sz w:val="24"/>
          <w:szCs w:val="24"/>
        </w:rPr>
        <w:t xml:space="preserve"> which </w:t>
      </w:r>
      <w:r w:rsidR="00DA5359" w:rsidRPr="00B57B6A">
        <w:rPr>
          <w:rFonts w:ascii="Times New Roman" w:hAnsi="Times New Roman" w:cs="Times New Roman"/>
          <w:sz w:val="24"/>
          <w:szCs w:val="24"/>
        </w:rPr>
        <w:t xml:space="preserve">require that all </w:t>
      </w:r>
      <w:r w:rsidR="00DD1206" w:rsidRPr="00B57B6A">
        <w:rPr>
          <w:rFonts w:ascii="Times New Roman" w:hAnsi="Times New Roman" w:cs="Times New Roman"/>
          <w:sz w:val="24"/>
          <w:szCs w:val="24"/>
        </w:rPr>
        <w:t>placements</w:t>
      </w:r>
      <w:r w:rsidR="008A259B" w:rsidRPr="00B57B6A">
        <w:rPr>
          <w:rFonts w:ascii="Times New Roman" w:hAnsi="Times New Roman" w:cs="Times New Roman"/>
          <w:sz w:val="24"/>
          <w:szCs w:val="24"/>
        </w:rPr>
        <w:t xml:space="preserve"> in out-of-home care</w:t>
      </w:r>
      <w:r w:rsidR="00DA5359" w:rsidRPr="00B57B6A">
        <w:rPr>
          <w:rFonts w:ascii="Times New Roman" w:hAnsi="Times New Roman" w:cs="Times New Roman"/>
          <w:sz w:val="24"/>
          <w:szCs w:val="24"/>
        </w:rPr>
        <w:t xml:space="preserve"> be made by “a judicial, administrative or other adequate and recognized procedure.”</w:t>
      </w:r>
      <w:r w:rsidR="00DA5359" w:rsidRPr="00B57B6A">
        <w:rPr>
          <w:rStyle w:val="FootnoteReference"/>
          <w:rFonts w:ascii="Times New Roman" w:hAnsi="Times New Roman" w:cs="Times New Roman"/>
          <w:sz w:val="24"/>
          <w:szCs w:val="24"/>
        </w:rPr>
        <w:footnoteReference w:id="29"/>
      </w:r>
      <w:r w:rsidR="00DA5359" w:rsidRPr="00B57B6A">
        <w:rPr>
          <w:rFonts w:ascii="Times New Roman" w:hAnsi="Times New Roman" w:cs="Times New Roman"/>
          <w:sz w:val="24"/>
          <w:szCs w:val="24"/>
        </w:rPr>
        <w:t xml:space="preserve"> </w:t>
      </w:r>
    </w:p>
    <w:p w14:paraId="1CB15EB3" w14:textId="69F439AB" w:rsidR="00340147" w:rsidRPr="00B57B6A" w:rsidRDefault="00E265DD"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In practice</w:t>
      </w:r>
      <w:r w:rsidR="00DA5359" w:rsidRPr="00B57B6A">
        <w:rPr>
          <w:rFonts w:ascii="Times New Roman" w:hAnsi="Times New Roman" w:cs="Times New Roman"/>
          <w:sz w:val="24"/>
          <w:szCs w:val="24"/>
        </w:rPr>
        <w:t xml:space="preserve">, some public and many private </w:t>
      </w:r>
      <w:r w:rsidR="00C36D09" w:rsidRPr="00B57B6A">
        <w:rPr>
          <w:rFonts w:ascii="Times New Roman" w:hAnsi="Times New Roman" w:cs="Times New Roman"/>
          <w:sz w:val="24"/>
          <w:szCs w:val="24"/>
        </w:rPr>
        <w:t xml:space="preserve">institutions and </w:t>
      </w:r>
      <w:r w:rsidR="00DA5359" w:rsidRPr="00B57B6A">
        <w:rPr>
          <w:rFonts w:ascii="Times New Roman" w:hAnsi="Times New Roman" w:cs="Times New Roman"/>
          <w:sz w:val="24"/>
          <w:szCs w:val="24"/>
        </w:rPr>
        <w:t>orphanages operate off the public record or without official government regulation.</w:t>
      </w:r>
      <w:bookmarkStart w:id="18" w:name="_Ref471314320"/>
      <w:r w:rsidR="00DA5359" w:rsidRPr="00B57B6A">
        <w:rPr>
          <w:rStyle w:val="FootnoteReference"/>
          <w:rFonts w:ascii="Times New Roman" w:hAnsi="Times New Roman" w:cs="Times New Roman"/>
          <w:sz w:val="24"/>
          <w:szCs w:val="24"/>
        </w:rPr>
        <w:footnoteReference w:id="30"/>
      </w:r>
      <w:bookmarkEnd w:id="18"/>
      <w:r w:rsidR="00DA5359" w:rsidRPr="00B57B6A">
        <w:rPr>
          <w:rFonts w:ascii="Times New Roman" w:hAnsi="Times New Roman" w:cs="Times New Roman"/>
          <w:sz w:val="24"/>
          <w:szCs w:val="24"/>
        </w:rPr>
        <w:t xml:space="preserve"> When this happens, </w:t>
      </w:r>
      <w:r w:rsidR="00C36D09" w:rsidRPr="00B57B6A">
        <w:rPr>
          <w:rFonts w:ascii="Times New Roman" w:hAnsi="Times New Roman" w:cs="Times New Roman"/>
          <w:sz w:val="24"/>
          <w:szCs w:val="24"/>
        </w:rPr>
        <w:t>operators of</w:t>
      </w:r>
      <w:r w:rsidR="00340147" w:rsidRPr="00B57B6A">
        <w:rPr>
          <w:rFonts w:ascii="Times New Roman" w:hAnsi="Times New Roman" w:cs="Times New Roman"/>
          <w:sz w:val="24"/>
          <w:szCs w:val="24"/>
        </w:rPr>
        <w:t xml:space="preserve"> facilities for children effectively become formal or informal guardians for children that reside within them</w:t>
      </w:r>
      <w:r w:rsidR="00C36D09" w:rsidRPr="00B57B6A">
        <w:rPr>
          <w:rFonts w:ascii="Times New Roman" w:hAnsi="Times New Roman" w:cs="Times New Roman"/>
          <w:sz w:val="24"/>
          <w:szCs w:val="24"/>
        </w:rPr>
        <w:t>.  C</w:t>
      </w:r>
      <w:r w:rsidR="00340147" w:rsidRPr="00B57B6A">
        <w:rPr>
          <w:rFonts w:ascii="Times New Roman" w:hAnsi="Times New Roman" w:cs="Times New Roman"/>
          <w:sz w:val="24"/>
          <w:szCs w:val="24"/>
        </w:rPr>
        <w:t>hildren are not allowed to exercise choice about their place of residence.</w:t>
      </w:r>
      <w:r w:rsidR="00340147" w:rsidRPr="00B57B6A">
        <w:rPr>
          <w:rFonts w:ascii="Times New Roman" w:hAnsi="Times New Roman" w:cs="Times New Roman"/>
          <w:sz w:val="24"/>
          <w:szCs w:val="24"/>
          <w:vertAlign w:val="superscript"/>
        </w:rPr>
        <w:footnoteReference w:id="31"/>
      </w:r>
      <w:r w:rsidR="00340147" w:rsidRPr="00B57B6A">
        <w:rPr>
          <w:rFonts w:ascii="Times New Roman" w:hAnsi="Times New Roman" w:cs="Times New Roman"/>
          <w:sz w:val="24"/>
          <w:szCs w:val="24"/>
        </w:rPr>
        <w:t xml:space="preserve"> There is international precedent for treating non-penal social institutions as places of detention even if </w:t>
      </w:r>
      <w:r w:rsidR="00DD1206" w:rsidRPr="00B57B6A">
        <w:rPr>
          <w:rFonts w:ascii="Times New Roman" w:hAnsi="Times New Roman" w:cs="Times New Roman"/>
          <w:sz w:val="24"/>
          <w:szCs w:val="24"/>
        </w:rPr>
        <w:t>a government authority does not formally regulate placement</w:t>
      </w:r>
      <w:r w:rsidR="00340147" w:rsidRPr="00B57B6A">
        <w:rPr>
          <w:rFonts w:ascii="Times New Roman" w:hAnsi="Times New Roman" w:cs="Times New Roman"/>
          <w:sz w:val="24"/>
          <w:szCs w:val="24"/>
        </w:rPr>
        <w:t>.</w:t>
      </w:r>
      <w:r w:rsidR="00340147" w:rsidRPr="00B57B6A">
        <w:rPr>
          <w:rFonts w:ascii="Times New Roman" w:hAnsi="Times New Roman" w:cs="Times New Roman"/>
          <w:sz w:val="24"/>
          <w:szCs w:val="24"/>
          <w:vertAlign w:val="superscript"/>
        </w:rPr>
        <w:footnoteReference w:id="32"/>
      </w:r>
      <w:r w:rsidR="002F113C" w:rsidRPr="00B57B6A">
        <w:rPr>
          <w:rFonts w:ascii="Times New Roman" w:hAnsi="Times New Roman" w:cs="Times New Roman"/>
          <w:b/>
          <w:sz w:val="24"/>
          <w:szCs w:val="24"/>
        </w:rPr>
        <w:t xml:space="preserve"> </w:t>
      </w:r>
      <w:r w:rsidR="009774D2" w:rsidRPr="00B57B6A">
        <w:rPr>
          <w:rFonts w:ascii="Times New Roman" w:hAnsi="Times New Roman" w:cs="Times New Roman"/>
          <w:sz w:val="24"/>
          <w:szCs w:val="24"/>
        </w:rPr>
        <w:t xml:space="preserve">The European Court has found </w:t>
      </w:r>
      <w:r w:rsidR="009774D2" w:rsidRPr="00B57B6A">
        <w:rPr>
          <w:rFonts w:ascii="Times New Roman" w:hAnsi="Times New Roman" w:cs="Times New Roman"/>
          <w:sz w:val="24"/>
          <w:szCs w:val="24"/>
        </w:rPr>
        <w:lastRenderedPageBreak/>
        <w:t>that placement of an adult in a social care home for his own protection constitutes detention under the European Convention on Human Rights.</w:t>
      </w:r>
      <w:bookmarkStart w:id="19" w:name="_Ref471314804"/>
      <w:r w:rsidR="009774D2" w:rsidRPr="00B57B6A">
        <w:rPr>
          <w:rStyle w:val="FootnoteReference"/>
          <w:rFonts w:ascii="Times New Roman" w:hAnsi="Times New Roman" w:cs="Times New Roman"/>
          <w:sz w:val="24"/>
          <w:szCs w:val="24"/>
        </w:rPr>
        <w:footnoteReference w:id="33"/>
      </w:r>
      <w:bookmarkEnd w:id="19"/>
      <w:r w:rsidR="009774D2" w:rsidRPr="00B57B6A">
        <w:rPr>
          <w:rFonts w:ascii="Times New Roman" w:hAnsi="Times New Roman" w:cs="Times New Roman"/>
          <w:sz w:val="24"/>
          <w:szCs w:val="24"/>
        </w:rPr>
        <w:t xml:space="preserve"> </w:t>
      </w:r>
      <w:r w:rsidR="00340147" w:rsidRPr="00B57B6A">
        <w:rPr>
          <w:rFonts w:ascii="Times New Roman" w:hAnsi="Times New Roman" w:cs="Times New Roman"/>
          <w:sz w:val="24"/>
          <w:szCs w:val="24"/>
        </w:rPr>
        <w:t>More broadly, governments are required under CAT to regulate all places of detention, including privately operated facilities, and take all actions necessary to protect against torture or ill-treatment.</w:t>
      </w:r>
      <w:bookmarkStart w:id="20" w:name="_Ref471732276"/>
      <w:r w:rsidR="00340147" w:rsidRPr="00B57B6A">
        <w:rPr>
          <w:rFonts w:ascii="Times New Roman" w:hAnsi="Times New Roman" w:cs="Times New Roman"/>
          <w:sz w:val="24"/>
          <w:szCs w:val="24"/>
          <w:vertAlign w:val="superscript"/>
        </w:rPr>
        <w:footnoteReference w:id="34"/>
      </w:r>
      <w:bookmarkEnd w:id="20"/>
      <w:r w:rsidR="00340147" w:rsidRPr="00B57B6A">
        <w:rPr>
          <w:rFonts w:ascii="Times New Roman" w:hAnsi="Times New Roman" w:cs="Times New Roman"/>
          <w:sz w:val="24"/>
          <w:szCs w:val="24"/>
        </w:rPr>
        <w:t xml:space="preserve"> </w:t>
      </w:r>
    </w:p>
    <w:p w14:paraId="6ECC538C" w14:textId="05162325" w:rsidR="00E91797" w:rsidRPr="00B57B6A" w:rsidRDefault="00E9179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While the </w:t>
      </w:r>
      <w:r w:rsidR="007A5B7A" w:rsidRPr="00B57B6A">
        <w:rPr>
          <w:rFonts w:ascii="Times New Roman" w:hAnsi="Times New Roman" w:cs="Times New Roman"/>
          <w:sz w:val="24"/>
          <w:szCs w:val="24"/>
        </w:rPr>
        <w:t>Méndez</w:t>
      </w:r>
      <w:r w:rsidR="00734280" w:rsidRPr="00B57B6A">
        <w:rPr>
          <w:rFonts w:ascii="Times New Roman" w:hAnsi="Times New Roman" w:cs="Times New Roman"/>
          <w:sz w:val="24"/>
          <w:szCs w:val="24"/>
        </w:rPr>
        <w:t xml:space="preserve"> Report</w:t>
      </w:r>
      <w:r w:rsidRPr="00B57B6A">
        <w:rPr>
          <w:rFonts w:ascii="Times New Roman" w:hAnsi="Times New Roman" w:cs="Times New Roman"/>
          <w:sz w:val="24"/>
          <w:szCs w:val="24"/>
        </w:rPr>
        <w:t xml:space="preserve"> uses the term “detention,” the term “placement” is used in many laws and social policies regarding children in non-penal </w:t>
      </w:r>
      <w:r w:rsidR="0061284E" w:rsidRPr="00B57B6A">
        <w:rPr>
          <w:rFonts w:ascii="Times New Roman" w:hAnsi="Times New Roman" w:cs="Times New Roman"/>
          <w:sz w:val="24"/>
          <w:szCs w:val="24"/>
        </w:rPr>
        <w:t>institutions. This article will use the</w:t>
      </w:r>
      <w:r w:rsidR="00734280" w:rsidRPr="00B57B6A">
        <w:rPr>
          <w:rFonts w:ascii="Times New Roman" w:hAnsi="Times New Roman" w:cs="Times New Roman"/>
          <w:sz w:val="24"/>
          <w:szCs w:val="24"/>
        </w:rPr>
        <w:t xml:space="preserve"> term “placement” to emphasize that</w:t>
      </w:r>
      <w:r w:rsidR="0061284E" w:rsidRPr="00B57B6A">
        <w:rPr>
          <w:rFonts w:ascii="Times New Roman" w:hAnsi="Times New Roman" w:cs="Times New Roman"/>
          <w:sz w:val="24"/>
          <w:szCs w:val="24"/>
        </w:rPr>
        <w:t xml:space="preserve"> </w:t>
      </w:r>
      <w:r w:rsidR="0053530B" w:rsidRPr="00B57B6A">
        <w:rPr>
          <w:rFonts w:ascii="Times New Roman" w:hAnsi="Times New Roman" w:cs="Times New Roman"/>
          <w:sz w:val="24"/>
          <w:szCs w:val="24"/>
        </w:rPr>
        <w:t>the</w:t>
      </w:r>
      <w:r w:rsidR="0061284E" w:rsidRPr="00B57B6A">
        <w:rPr>
          <w:rFonts w:ascii="Times New Roman" w:hAnsi="Times New Roman" w:cs="Times New Roman"/>
          <w:sz w:val="24"/>
          <w:szCs w:val="24"/>
        </w:rPr>
        <w:t xml:space="preserve"> </w:t>
      </w:r>
      <w:r w:rsidR="007A5B7A" w:rsidRPr="00B57B6A">
        <w:rPr>
          <w:rFonts w:ascii="Times New Roman" w:hAnsi="Times New Roman" w:cs="Times New Roman"/>
          <w:sz w:val="24"/>
          <w:szCs w:val="24"/>
        </w:rPr>
        <w:t>Méndez</w:t>
      </w:r>
      <w:r w:rsidR="00734280" w:rsidRPr="00B57B6A">
        <w:rPr>
          <w:rFonts w:ascii="Times New Roman" w:hAnsi="Times New Roman" w:cs="Times New Roman"/>
          <w:sz w:val="24"/>
          <w:szCs w:val="24"/>
        </w:rPr>
        <w:t xml:space="preserve"> Report </w:t>
      </w:r>
      <w:r w:rsidR="0061284E" w:rsidRPr="00B57B6A">
        <w:rPr>
          <w:rFonts w:ascii="Times New Roman" w:hAnsi="Times New Roman" w:cs="Times New Roman"/>
          <w:sz w:val="24"/>
          <w:szCs w:val="24"/>
        </w:rPr>
        <w:t>and the protections against torture apply in the context of health</w:t>
      </w:r>
      <w:r w:rsidR="000607C1">
        <w:rPr>
          <w:rFonts w:ascii="Times New Roman" w:hAnsi="Times New Roman" w:cs="Times New Roman"/>
          <w:sz w:val="24"/>
          <w:szCs w:val="24"/>
        </w:rPr>
        <w:t xml:space="preserve"> </w:t>
      </w:r>
      <w:r w:rsidR="005D64AD">
        <w:rPr>
          <w:rFonts w:ascii="Times New Roman" w:hAnsi="Times New Roman" w:cs="Times New Roman"/>
          <w:sz w:val="24"/>
          <w:szCs w:val="24"/>
        </w:rPr>
        <w:t>care</w:t>
      </w:r>
      <w:r w:rsidR="0061284E" w:rsidRPr="00B57B6A">
        <w:rPr>
          <w:rFonts w:ascii="Times New Roman" w:hAnsi="Times New Roman" w:cs="Times New Roman"/>
          <w:sz w:val="24"/>
          <w:szCs w:val="24"/>
        </w:rPr>
        <w:t>, social care, and</w:t>
      </w:r>
      <w:r w:rsidR="00375CC4">
        <w:rPr>
          <w:rFonts w:ascii="Times New Roman" w:hAnsi="Times New Roman" w:cs="Times New Roman"/>
          <w:sz w:val="24"/>
          <w:szCs w:val="24"/>
        </w:rPr>
        <w:t xml:space="preserve"> to detention in </w:t>
      </w:r>
      <w:r w:rsidR="0061284E" w:rsidRPr="00B57B6A">
        <w:rPr>
          <w:rFonts w:ascii="Times New Roman" w:hAnsi="Times New Roman" w:cs="Times New Roman"/>
          <w:sz w:val="24"/>
          <w:szCs w:val="24"/>
        </w:rPr>
        <w:t>all non-penal facilities.</w:t>
      </w:r>
    </w:p>
    <w:p w14:paraId="6A28B707" w14:textId="2589DD82" w:rsidR="0049481B" w:rsidRPr="00B57B6A" w:rsidRDefault="0049481B" w:rsidP="00EB136D">
      <w:pPr>
        <w:pStyle w:val="Heading2"/>
        <w:numPr>
          <w:ilvl w:val="0"/>
          <w:numId w:val="34"/>
        </w:numPr>
        <w:spacing w:line="240" w:lineRule="auto"/>
        <w:rPr>
          <w:rFonts w:ascii="Times New Roman" w:hAnsi="Times New Roman" w:cs="Times New Roman"/>
          <w:sz w:val="24"/>
          <w:szCs w:val="24"/>
        </w:rPr>
      </w:pPr>
      <w:bookmarkStart w:id="21" w:name="_Toc471468467"/>
      <w:r w:rsidRPr="00B57B6A">
        <w:rPr>
          <w:rFonts w:ascii="Times New Roman" w:hAnsi="Times New Roman" w:cs="Times New Roman"/>
          <w:sz w:val="24"/>
          <w:szCs w:val="24"/>
        </w:rPr>
        <w:t>Obligation to regulate international donors</w:t>
      </w:r>
      <w:bookmarkEnd w:id="21"/>
    </w:p>
    <w:p w14:paraId="28DC0308" w14:textId="690A0067" w:rsidR="00DA3AD6" w:rsidRPr="00B57B6A" w:rsidRDefault="00DA3AD6"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w:t>
      </w:r>
      <w:r w:rsidR="00C27940">
        <w:rPr>
          <w:rFonts w:ascii="Times New Roman" w:hAnsi="Times New Roman" w:cs="Times New Roman"/>
          <w:sz w:val="24"/>
          <w:szCs w:val="24"/>
        </w:rPr>
        <w:t>e</w:t>
      </w:r>
      <w:r w:rsidRPr="00B57B6A">
        <w:rPr>
          <w:rFonts w:ascii="Times New Roman" w:hAnsi="Times New Roman" w:cs="Times New Roman"/>
          <w:sz w:val="24"/>
          <w:szCs w:val="24"/>
        </w:rPr>
        <w:t xml:space="preserve"> duty to protect people from torture requires governments to regulate behavior in the private sphere that would cause severe pain and suffering amounting to torture or ill-treatment.</w:t>
      </w:r>
      <w:r w:rsidRPr="00B57B6A">
        <w:rPr>
          <w:rFonts w:ascii="Times New Roman" w:hAnsi="Times New Roman" w:cs="Times New Roman"/>
          <w:sz w:val="24"/>
          <w:szCs w:val="24"/>
          <w:vertAlign w:val="superscript"/>
        </w:rPr>
        <w:footnoteReference w:id="35"/>
      </w:r>
      <w:r w:rsidRPr="00B57B6A">
        <w:rPr>
          <w:rFonts w:ascii="Times New Roman" w:hAnsi="Times New Roman" w:cs="Times New Roman"/>
          <w:sz w:val="24"/>
          <w:szCs w:val="24"/>
        </w:rPr>
        <w:t xml:space="preserve">   Governments in recipient countries must, therefore,</w:t>
      </w:r>
      <w:r w:rsidR="00DB1FFD" w:rsidRPr="00B57B6A">
        <w:rPr>
          <w:rFonts w:ascii="Times New Roman" w:hAnsi="Times New Roman" w:cs="Times New Roman"/>
          <w:sz w:val="24"/>
          <w:szCs w:val="24"/>
        </w:rPr>
        <w:t xml:space="preserve"> regulate </w:t>
      </w:r>
      <w:r w:rsidRPr="00B57B6A">
        <w:rPr>
          <w:rFonts w:ascii="Times New Roman" w:hAnsi="Times New Roman" w:cs="Times New Roman"/>
          <w:sz w:val="24"/>
          <w:szCs w:val="24"/>
        </w:rPr>
        <w:t xml:space="preserve">international funding </w:t>
      </w:r>
      <w:r w:rsidR="00DB1FFD" w:rsidRPr="00B57B6A">
        <w:rPr>
          <w:rFonts w:ascii="Times New Roman" w:hAnsi="Times New Roman" w:cs="Times New Roman"/>
          <w:sz w:val="24"/>
          <w:szCs w:val="24"/>
        </w:rPr>
        <w:t xml:space="preserve">– including private charities </w:t>
      </w:r>
      <w:r w:rsidR="00664908">
        <w:rPr>
          <w:rFonts w:ascii="Times New Roman" w:hAnsi="Times New Roman" w:cs="Times New Roman"/>
          <w:sz w:val="24"/>
          <w:szCs w:val="24"/>
        </w:rPr>
        <w:t>–</w:t>
      </w:r>
      <w:r w:rsidR="00DB1FFD" w:rsidRPr="00B57B6A">
        <w:rPr>
          <w:rFonts w:ascii="Times New Roman" w:hAnsi="Times New Roman" w:cs="Times New Roman"/>
          <w:sz w:val="24"/>
          <w:szCs w:val="24"/>
        </w:rPr>
        <w:t xml:space="preserve"> </w:t>
      </w:r>
      <w:r w:rsidRPr="00B57B6A">
        <w:rPr>
          <w:rFonts w:ascii="Times New Roman" w:hAnsi="Times New Roman" w:cs="Times New Roman"/>
          <w:sz w:val="24"/>
          <w:szCs w:val="24"/>
        </w:rPr>
        <w:t>for institutions or residential facilities that p</w:t>
      </w:r>
      <w:r w:rsidR="00664908">
        <w:rPr>
          <w:rFonts w:ascii="Times New Roman" w:hAnsi="Times New Roman" w:cs="Times New Roman"/>
          <w:sz w:val="24"/>
          <w:szCs w:val="24"/>
        </w:rPr>
        <w:t>ut</w:t>
      </w:r>
      <w:r w:rsidRPr="00B57B6A">
        <w:rPr>
          <w:rFonts w:ascii="Times New Roman" w:hAnsi="Times New Roman" w:cs="Times New Roman"/>
          <w:sz w:val="24"/>
          <w:szCs w:val="24"/>
        </w:rPr>
        <w:t xml:space="preserve"> children at-risk of torture</w:t>
      </w:r>
      <w:r w:rsidR="00B52C15">
        <w:rPr>
          <w:rFonts w:ascii="Times New Roman" w:hAnsi="Times New Roman" w:cs="Times New Roman"/>
          <w:sz w:val="24"/>
          <w:szCs w:val="24"/>
        </w:rPr>
        <w:t xml:space="preserve"> or ill-treatment.</w:t>
      </w:r>
      <w:r w:rsidRPr="00B57B6A">
        <w:rPr>
          <w:rFonts w:ascii="Times New Roman" w:hAnsi="Times New Roman" w:cs="Times New Roman"/>
          <w:sz w:val="24"/>
          <w:szCs w:val="24"/>
        </w:rPr>
        <w:t xml:space="preserve"> </w:t>
      </w:r>
      <w:r w:rsidR="00DB1FFD" w:rsidRPr="00B57B6A">
        <w:rPr>
          <w:rFonts w:ascii="Times New Roman" w:hAnsi="Times New Roman" w:cs="Times New Roman"/>
          <w:sz w:val="24"/>
          <w:szCs w:val="24"/>
        </w:rPr>
        <w:t xml:space="preserve"> To the extent that international law requires governments to protect their own citizens from improper detention, the same standard applies to programs within their jurisdiction </w:t>
      </w:r>
      <w:r w:rsidR="00B07A50">
        <w:rPr>
          <w:rFonts w:ascii="Times New Roman" w:hAnsi="Times New Roman" w:cs="Times New Roman"/>
          <w:sz w:val="24"/>
          <w:szCs w:val="24"/>
        </w:rPr>
        <w:t xml:space="preserve">that are </w:t>
      </w:r>
      <w:r w:rsidR="00DB1FFD" w:rsidRPr="00B57B6A">
        <w:rPr>
          <w:rFonts w:ascii="Times New Roman" w:hAnsi="Times New Roman" w:cs="Times New Roman"/>
          <w:sz w:val="24"/>
          <w:szCs w:val="24"/>
        </w:rPr>
        <w:t>funded from abroad.</w:t>
      </w:r>
    </w:p>
    <w:p w14:paraId="3C24C58E" w14:textId="39CE21CA" w:rsidR="00DA3AD6" w:rsidRPr="00B57B6A" w:rsidRDefault="00DA3AD6"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duty to regulate international development aid also applies to donor countries. The CRPD includes an innovative provision in article 32 that commits governments to advance the “purposes and objectives of the convention” through international assistance and cooperation.</w:t>
      </w:r>
      <w:r w:rsidRPr="00B57B6A">
        <w:rPr>
          <w:rStyle w:val="FootnoteReference"/>
          <w:rFonts w:ascii="Times New Roman" w:hAnsi="Times New Roman" w:cs="Times New Roman"/>
          <w:sz w:val="24"/>
          <w:szCs w:val="24"/>
        </w:rPr>
        <w:footnoteReference w:id="36"/>
      </w:r>
      <w:r w:rsidRPr="00B57B6A">
        <w:rPr>
          <w:rFonts w:ascii="Times New Roman" w:hAnsi="Times New Roman" w:cs="Times New Roman"/>
          <w:sz w:val="24"/>
          <w:szCs w:val="24"/>
        </w:rPr>
        <w:t xml:space="preserve">    The European Union, which has adopted policies to include people with disabilities</w:t>
      </w:r>
      <w:r w:rsidR="003653A4" w:rsidRPr="00B57B6A">
        <w:rPr>
          <w:rFonts w:ascii="Times New Roman" w:hAnsi="Times New Roman" w:cs="Times New Roman"/>
          <w:sz w:val="24"/>
          <w:szCs w:val="24"/>
        </w:rPr>
        <w:t xml:space="preserve"> into its foreign assistance</w:t>
      </w:r>
      <w:r w:rsidR="00E06A16" w:rsidRPr="00B57B6A">
        <w:rPr>
          <w:rFonts w:ascii="Times New Roman" w:hAnsi="Times New Roman" w:cs="Times New Roman"/>
          <w:sz w:val="24"/>
          <w:szCs w:val="24"/>
        </w:rPr>
        <w:t>,</w:t>
      </w:r>
      <w:r w:rsidRPr="00B57B6A">
        <w:rPr>
          <w:rFonts w:ascii="Times New Roman" w:hAnsi="Times New Roman" w:cs="Times New Roman"/>
          <w:sz w:val="24"/>
          <w:szCs w:val="24"/>
        </w:rPr>
        <w:t xml:space="preserve"> has </w:t>
      </w:r>
      <w:r w:rsidR="00C27940">
        <w:rPr>
          <w:rFonts w:ascii="Times New Roman" w:hAnsi="Times New Roman" w:cs="Times New Roman"/>
          <w:sz w:val="24"/>
          <w:szCs w:val="24"/>
        </w:rPr>
        <w:t>observed</w:t>
      </w:r>
      <w:r w:rsidRPr="00B57B6A">
        <w:rPr>
          <w:rFonts w:ascii="Times New Roman" w:hAnsi="Times New Roman" w:cs="Times New Roman"/>
          <w:sz w:val="24"/>
          <w:szCs w:val="24"/>
        </w:rPr>
        <w:t xml:space="preserve"> that</w:t>
      </w:r>
      <w:r w:rsidR="003653A4" w:rsidRPr="00B57B6A">
        <w:rPr>
          <w:rFonts w:ascii="Times New Roman" w:hAnsi="Times New Roman" w:cs="Times New Roman"/>
          <w:sz w:val="24"/>
          <w:szCs w:val="24"/>
        </w:rPr>
        <w:t xml:space="preserve"> the CRPD carries with it extra-territorial obligations</w:t>
      </w:r>
      <w:r w:rsidRPr="00B57B6A">
        <w:rPr>
          <w:rFonts w:ascii="Times New Roman" w:hAnsi="Times New Roman" w:cs="Times New Roman"/>
          <w:sz w:val="24"/>
          <w:szCs w:val="24"/>
        </w:rPr>
        <w:t xml:space="preserve">: </w:t>
      </w:r>
    </w:p>
    <w:p w14:paraId="5E182F88" w14:textId="3BC7F15B" w:rsidR="00DA3AD6" w:rsidRPr="00B57B6A" w:rsidRDefault="00DA3AD6" w:rsidP="00BA146B">
      <w:pPr>
        <w:pStyle w:val="FootnoteText"/>
        <w:ind w:left="720" w:right="720"/>
        <w:jc w:val="both"/>
        <w:rPr>
          <w:rFonts w:ascii="Times New Roman" w:hAnsi="Times New Roman" w:cs="Times New Roman"/>
          <w:sz w:val="24"/>
          <w:szCs w:val="24"/>
        </w:rPr>
      </w:pPr>
      <w:r w:rsidRPr="00B57B6A">
        <w:rPr>
          <w:rFonts w:ascii="Times New Roman" w:hAnsi="Times New Roman" w:cs="Times New Roman"/>
          <w:sz w:val="24"/>
          <w:szCs w:val="24"/>
        </w:rPr>
        <w:t>The Convention recognizes that human rights being universal and inalienable, their protection must extend beyond jurisdiction of States Parties and include disabled people in third countries.  Legal basis for including a disability perspective in all international cooperation initiatives is thus provided.</w:t>
      </w:r>
      <w:r w:rsidRPr="00B57B6A">
        <w:rPr>
          <w:rStyle w:val="FootnoteReference"/>
          <w:rFonts w:ascii="Times New Roman" w:hAnsi="Times New Roman" w:cs="Times New Roman"/>
          <w:sz w:val="24"/>
          <w:szCs w:val="24"/>
        </w:rPr>
        <w:footnoteReference w:id="37"/>
      </w:r>
      <w:r w:rsidRPr="00B57B6A">
        <w:rPr>
          <w:rFonts w:ascii="Times New Roman" w:hAnsi="Times New Roman" w:cs="Times New Roman"/>
          <w:sz w:val="24"/>
          <w:szCs w:val="24"/>
        </w:rPr>
        <w:t xml:space="preserve">  </w:t>
      </w:r>
    </w:p>
    <w:p w14:paraId="0083015C" w14:textId="77777777" w:rsidR="00DB1FFD" w:rsidRPr="00B57B6A" w:rsidRDefault="00DB1FFD" w:rsidP="00B57B6A">
      <w:pPr>
        <w:pStyle w:val="FootnoteText"/>
        <w:ind w:left="720" w:right="720"/>
        <w:rPr>
          <w:rFonts w:ascii="Times New Roman" w:hAnsi="Times New Roman" w:cs="Times New Roman"/>
          <w:sz w:val="24"/>
          <w:szCs w:val="24"/>
        </w:rPr>
      </w:pPr>
    </w:p>
    <w:p w14:paraId="6B697AFD" w14:textId="108048D9" w:rsidR="00DA3AD6" w:rsidRPr="00B57B6A" w:rsidRDefault="00DB1FFD"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lastRenderedPageBreak/>
        <w:t xml:space="preserve">Thus, international donors must ensure that government or private funding </w:t>
      </w:r>
      <w:r w:rsidR="00517B70">
        <w:rPr>
          <w:rFonts w:ascii="Times New Roman" w:hAnsi="Times New Roman" w:cs="Times New Roman"/>
          <w:sz w:val="24"/>
          <w:szCs w:val="24"/>
        </w:rPr>
        <w:t xml:space="preserve">does </w:t>
      </w:r>
      <w:r w:rsidRPr="00B57B6A">
        <w:rPr>
          <w:rFonts w:ascii="Times New Roman" w:hAnsi="Times New Roman" w:cs="Times New Roman"/>
          <w:sz w:val="24"/>
          <w:szCs w:val="24"/>
        </w:rPr>
        <w:t xml:space="preserve">not subject children to a risk of torture </w:t>
      </w:r>
      <w:r w:rsidR="00C27940">
        <w:rPr>
          <w:rFonts w:ascii="Times New Roman" w:hAnsi="Times New Roman" w:cs="Times New Roman"/>
          <w:sz w:val="24"/>
          <w:szCs w:val="24"/>
        </w:rPr>
        <w:t xml:space="preserve">abroad </w:t>
      </w:r>
      <w:r w:rsidRPr="00B57B6A">
        <w:rPr>
          <w:rFonts w:ascii="Times New Roman" w:hAnsi="Times New Roman" w:cs="Times New Roman"/>
          <w:sz w:val="24"/>
          <w:szCs w:val="24"/>
        </w:rPr>
        <w:t xml:space="preserve">that would </w:t>
      </w:r>
      <w:r w:rsidR="00C27940">
        <w:rPr>
          <w:rFonts w:ascii="Times New Roman" w:hAnsi="Times New Roman" w:cs="Times New Roman"/>
          <w:sz w:val="24"/>
          <w:szCs w:val="24"/>
        </w:rPr>
        <w:t xml:space="preserve">similarly </w:t>
      </w:r>
      <w:r w:rsidRPr="00B57B6A">
        <w:rPr>
          <w:rFonts w:ascii="Times New Roman" w:hAnsi="Times New Roman" w:cs="Times New Roman"/>
          <w:sz w:val="24"/>
          <w:szCs w:val="24"/>
        </w:rPr>
        <w:t>be imp</w:t>
      </w:r>
      <w:r w:rsidR="00C27940">
        <w:rPr>
          <w:rFonts w:ascii="Times New Roman" w:hAnsi="Times New Roman" w:cs="Times New Roman"/>
          <w:sz w:val="24"/>
          <w:szCs w:val="24"/>
        </w:rPr>
        <w:t xml:space="preserve">ermissible </w:t>
      </w:r>
      <w:r w:rsidRPr="00B57B6A">
        <w:rPr>
          <w:rFonts w:ascii="Times New Roman" w:hAnsi="Times New Roman" w:cs="Times New Roman"/>
          <w:sz w:val="24"/>
          <w:szCs w:val="24"/>
        </w:rPr>
        <w:t>in their own countries.</w:t>
      </w:r>
    </w:p>
    <w:p w14:paraId="24358903" w14:textId="114C3FD9" w:rsidR="003653A4" w:rsidRPr="00B57B6A" w:rsidRDefault="00E06A16"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To the extent that placement</w:t>
      </w:r>
      <w:r w:rsidR="003653A4" w:rsidRPr="00B57B6A">
        <w:rPr>
          <w:rFonts w:ascii="Times New Roman" w:hAnsi="Times New Roman" w:cs="Times New Roman"/>
          <w:sz w:val="24"/>
          <w:szCs w:val="24"/>
        </w:rPr>
        <w:t xml:space="preserve"> in orphanages constitute</w:t>
      </w:r>
      <w:r w:rsidRPr="00B57B6A">
        <w:rPr>
          <w:rFonts w:ascii="Times New Roman" w:hAnsi="Times New Roman" w:cs="Times New Roman"/>
          <w:sz w:val="24"/>
          <w:szCs w:val="24"/>
        </w:rPr>
        <w:t xml:space="preserve">s </w:t>
      </w:r>
      <w:r w:rsidR="00C27940">
        <w:rPr>
          <w:rFonts w:ascii="Times New Roman" w:hAnsi="Times New Roman" w:cs="Times New Roman"/>
          <w:sz w:val="24"/>
          <w:szCs w:val="24"/>
        </w:rPr>
        <w:t xml:space="preserve">an impermissible risk of </w:t>
      </w:r>
      <w:r w:rsidR="003653A4" w:rsidRPr="00B57B6A">
        <w:rPr>
          <w:rFonts w:ascii="Times New Roman" w:hAnsi="Times New Roman" w:cs="Times New Roman"/>
          <w:sz w:val="24"/>
          <w:szCs w:val="24"/>
        </w:rPr>
        <w:t>torture</w:t>
      </w:r>
      <w:r w:rsidRPr="00B57B6A">
        <w:rPr>
          <w:rFonts w:ascii="Times New Roman" w:hAnsi="Times New Roman" w:cs="Times New Roman"/>
          <w:sz w:val="24"/>
          <w:szCs w:val="24"/>
        </w:rPr>
        <w:t xml:space="preserve">, or if torture takes place against a child within an institution, the extra-territorial obligations on governments are </w:t>
      </w:r>
      <w:r w:rsidR="0013780C">
        <w:rPr>
          <w:rFonts w:ascii="Times New Roman" w:hAnsi="Times New Roman" w:cs="Times New Roman"/>
          <w:sz w:val="24"/>
          <w:szCs w:val="24"/>
        </w:rPr>
        <w:t>implicated</w:t>
      </w:r>
      <w:r w:rsidR="00C27940">
        <w:rPr>
          <w:rFonts w:ascii="Times New Roman" w:hAnsi="Times New Roman" w:cs="Times New Roman"/>
          <w:sz w:val="24"/>
          <w:szCs w:val="24"/>
        </w:rPr>
        <w:t xml:space="preserve">. </w:t>
      </w:r>
      <w:r w:rsidRPr="00B57B6A">
        <w:rPr>
          <w:rFonts w:ascii="Times New Roman" w:hAnsi="Times New Roman" w:cs="Times New Roman"/>
          <w:sz w:val="24"/>
          <w:szCs w:val="24"/>
        </w:rPr>
        <w:t>The protection against torture is recognized as a form of customary international law that applies in every country whether or not they have ratified relevant international treaties.</w:t>
      </w:r>
      <w:r w:rsidRPr="00B57B6A">
        <w:rPr>
          <w:rStyle w:val="FootnoteReference"/>
          <w:rFonts w:ascii="Times New Roman" w:hAnsi="Times New Roman" w:cs="Times New Roman"/>
          <w:sz w:val="24"/>
          <w:szCs w:val="24"/>
        </w:rPr>
        <w:footnoteReference w:id="38"/>
      </w:r>
      <w:r w:rsidRPr="00B57B6A">
        <w:rPr>
          <w:rFonts w:ascii="Times New Roman" w:hAnsi="Times New Roman" w:cs="Times New Roman"/>
          <w:sz w:val="24"/>
          <w:szCs w:val="24"/>
        </w:rPr>
        <w:t xml:space="preserve"> </w:t>
      </w:r>
      <w:r w:rsidR="00471468" w:rsidRPr="00B57B6A">
        <w:rPr>
          <w:rFonts w:ascii="Times New Roman" w:hAnsi="Times New Roman" w:cs="Times New Roman"/>
          <w:sz w:val="24"/>
          <w:szCs w:val="24"/>
        </w:rPr>
        <w:t xml:space="preserve">The </w:t>
      </w:r>
      <w:r w:rsidRPr="00B57B6A">
        <w:rPr>
          <w:rFonts w:ascii="Times New Roman" w:hAnsi="Times New Roman" w:cs="Times New Roman"/>
          <w:sz w:val="24"/>
          <w:szCs w:val="24"/>
        </w:rPr>
        <w:t xml:space="preserve">Convention Against Torture </w:t>
      </w:r>
      <w:r w:rsidR="00BA146B">
        <w:rPr>
          <w:rFonts w:ascii="Times New Roman" w:hAnsi="Times New Roman" w:cs="Times New Roman"/>
          <w:sz w:val="24"/>
          <w:szCs w:val="24"/>
        </w:rPr>
        <w:t xml:space="preserve">(CAT) </w:t>
      </w:r>
      <w:r w:rsidRPr="00B57B6A">
        <w:rPr>
          <w:rFonts w:ascii="Times New Roman" w:hAnsi="Times New Roman" w:cs="Times New Roman"/>
          <w:sz w:val="24"/>
          <w:szCs w:val="24"/>
        </w:rPr>
        <w:t xml:space="preserve">requires governments </w:t>
      </w:r>
      <w:r w:rsidR="00894B16">
        <w:rPr>
          <w:rFonts w:ascii="Times New Roman" w:hAnsi="Times New Roman" w:cs="Times New Roman"/>
          <w:sz w:val="24"/>
          <w:szCs w:val="24"/>
        </w:rPr>
        <w:t xml:space="preserve">not only </w:t>
      </w:r>
      <w:r w:rsidRPr="00B57B6A">
        <w:rPr>
          <w:rFonts w:ascii="Times New Roman" w:hAnsi="Times New Roman" w:cs="Times New Roman"/>
          <w:sz w:val="24"/>
          <w:szCs w:val="24"/>
        </w:rPr>
        <w:t>to prohibit acts of torture</w:t>
      </w:r>
      <w:r w:rsidR="00894B16">
        <w:rPr>
          <w:rFonts w:ascii="Times New Roman" w:hAnsi="Times New Roman" w:cs="Times New Roman"/>
          <w:sz w:val="24"/>
          <w:szCs w:val="24"/>
        </w:rPr>
        <w:t>,</w:t>
      </w:r>
      <w:r w:rsidRPr="00B57B6A">
        <w:rPr>
          <w:rFonts w:ascii="Times New Roman" w:hAnsi="Times New Roman" w:cs="Times New Roman"/>
          <w:sz w:val="24"/>
          <w:szCs w:val="24"/>
        </w:rPr>
        <w:t xml:space="preserve"> but</w:t>
      </w:r>
      <w:r w:rsidR="00894B16">
        <w:rPr>
          <w:rFonts w:ascii="Times New Roman" w:hAnsi="Times New Roman" w:cs="Times New Roman"/>
          <w:sz w:val="24"/>
          <w:szCs w:val="24"/>
        </w:rPr>
        <w:t xml:space="preserve"> also</w:t>
      </w:r>
      <w:r w:rsidRPr="00B57B6A">
        <w:rPr>
          <w:rFonts w:ascii="Times New Roman" w:hAnsi="Times New Roman" w:cs="Times New Roman"/>
          <w:sz w:val="24"/>
          <w:szCs w:val="24"/>
        </w:rPr>
        <w:t xml:space="preserve"> t</w:t>
      </w:r>
      <w:r w:rsidR="00471468" w:rsidRPr="00B57B6A">
        <w:rPr>
          <w:rFonts w:ascii="Times New Roman" w:hAnsi="Times New Roman" w:cs="Times New Roman"/>
          <w:sz w:val="24"/>
          <w:szCs w:val="24"/>
        </w:rPr>
        <w:t>o criminalize and prosecute such behavior by public or private actors</w:t>
      </w:r>
      <w:r w:rsidRPr="00B57B6A">
        <w:rPr>
          <w:rFonts w:ascii="Times New Roman" w:hAnsi="Times New Roman" w:cs="Times New Roman"/>
          <w:sz w:val="24"/>
          <w:szCs w:val="24"/>
        </w:rPr>
        <w:t>.</w:t>
      </w:r>
      <w:r w:rsidR="00471468" w:rsidRPr="00B57B6A">
        <w:rPr>
          <w:rStyle w:val="FootnoteReference"/>
          <w:rFonts w:ascii="Times New Roman" w:hAnsi="Times New Roman" w:cs="Times New Roman"/>
          <w:sz w:val="24"/>
          <w:szCs w:val="24"/>
        </w:rPr>
        <w:footnoteReference w:id="39"/>
      </w:r>
      <w:r w:rsidRPr="00B57B6A">
        <w:rPr>
          <w:rFonts w:ascii="Times New Roman" w:hAnsi="Times New Roman" w:cs="Times New Roman"/>
          <w:sz w:val="24"/>
          <w:szCs w:val="24"/>
        </w:rPr>
        <w:t xml:space="preserve"> There is universal jurisdiction to prosecute torture, and the Committee Against Torture has recognized that governments can bring to trial anyone in their territory who has committed torture abroad.</w:t>
      </w:r>
      <w:r w:rsidRPr="00B57B6A">
        <w:rPr>
          <w:rStyle w:val="FootnoteReference"/>
          <w:rFonts w:ascii="Times New Roman" w:hAnsi="Times New Roman" w:cs="Times New Roman"/>
          <w:sz w:val="24"/>
          <w:szCs w:val="24"/>
        </w:rPr>
        <w:footnoteReference w:id="40"/>
      </w:r>
      <w:r w:rsidR="00A30FC5" w:rsidRPr="00B57B6A">
        <w:rPr>
          <w:rFonts w:ascii="Times New Roman" w:hAnsi="Times New Roman" w:cs="Times New Roman"/>
          <w:sz w:val="24"/>
          <w:szCs w:val="24"/>
        </w:rPr>
        <w:t xml:space="preserve">  </w:t>
      </w:r>
    </w:p>
    <w:p w14:paraId="111C8331" w14:textId="45AA62C8" w:rsidR="00C600D4" w:rsidRPr="00B57B6A" w:rsidRDefault="00E96896" w:rsidP="00EB136D">
      <w:pPr>
        <w:pStyle w:val="Heading1"/>
        <w:numPr>
          <w:ilvl w:val="0"/>
          <w:numId w:val="35"/>
        </w:numPr>
        <w:spacing w:line="240" w:lineRule="auto"/>
        <w:rPr>
          <w:rFonts w:ascii="Times New Roman" w:hAnsi="Times New Roman" w:cs="Times New Roman"/>
          <w:sz w:val="24"/>
          <w:szCs w:val="24"/>
        </w:rPr>
      </w:pPr>
      <w:bookmarkStart w:id="22" w:name="_Toc471468468"/>
      <w:r w:rsidRPr="00B57B6A">
        <w:rPr>
          <w:rFonts w:ascii="Times New Roman" w:hAnsi="Times New Roman" w:cs="Times New Roman"/>
          <w:sz w:val="24"/>
          <w:szCs w:val="24"/>
        </w:rPr>
        <w:t>Global context</w:t>
      </w:r>
      <w:r w:rsidR="004B40D7" w:rsidRPr="00B57B6A">
        <w:rPr>
          <w:rFonts w:ascii="Times New Roman" w:hAnsi="Times New Roman" w:cs="Times New Roman"/>
          <w:sz w:val="24"/>
          <w:szCs w:val="24"/>
        </w:rPr>
        <w:t xml:space="preserve"> of institutionalization</w:t>
      </w:r>
      <w:bookmarkEnd w:id="22"/>
    </w:p>
    <w:p w14:paraId="497D892C" w14:textId="2F8E06F0" w:rsidR="004B40D7" w:rsidRPr="00B57B6A" w:rsidRDefault="00C6325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To evaluate the meaning </w:t>
      </w:r>
      <w:r w:rsidR="006C0A07" w:rsidRPr="00B57B6A">
        <w:rPr>
          <w:rFonts w:ascii="Times New Roman" w:hAnsi="Times New Roman" w:cs="Times New Roman"/>
          <w:sz w:val="24"/>
          <w:szCs w:val="24"/>
        </w:rPr>
        <w:t xml:space="preserve">and </w:t>
      </w:r>
      <w:r w:rsidR="00340147" w:rsidRPr="00B57B6A">
        <w:rPr>
          <w:rFonts w:ascii="Times New Roman" w:hAnsi="Times New Roman" w:cs="Times New Roman"/>
          <w:sz w:val="24"/>
          <w:szCs w:val="24"/>
        </w:rPr>
        <w:t xml:space="preserve">the challenges of implementing the recommendations in the </w:t>
      </w:r>
      <w:r w:rsidR="006C0A07" w:rsidRPr="00B57B6A">
        <w:rPr>
          <w:rFonts w:ascii="Times New Roman" w:hAnsi="Times New Roman" w:cs="Times New Roman"/>
          <w:sz w:val="24"/>
          <w:szCs w:val="24"/>
        </w:rPr>
        <w:t xml:space="preserve">UN Special Rapporteur on Torture’s </w:t>
      </w:r>
      <w:r w:rsidR="00340147" w:rsidRPr="00B57B6A">
        <w:rPr>
          <w:rFonts w:ascii="Times New Roman" w:hAnsi="Times New Roman" w:cs="Times New Roman"/>
          <w:sz w:val="24"/>
          <w:szCs w:val="24"/>
        </w:rPr>
        <w:t xml:space="preserve">Report on Children in Detention, </w:t>
      </w:r>
      <w:r w:rsidRPr="00B57B6A">
        <w:rPr>
          <w:rFonts w:ascii="Times New Roman" w:hAnsi="Times New Roman" w:cs="Times New Roman"/>
          <w:sz w:val="24"/>
          <w:szCs w:val="24"/>
        </w:rPr>
        <w:t>it is</w:t>
      </w:r>
      <w:r w:rsidR="00340147" w:rsidRPr="00B57B6A">
        <w:rPr>
          <w:rFonts w:ascii="Times New Roman" w:hAnsi="Times New Roman" w:cs="Times New Roman"/>
          <w:sz w:val="24"/>
          <w:szCs w:val="24"/>
        </w:rPr>
        <w:t xml:space="preserve"> essential </w:t>
      </w:r>
      <w:r w:rsidRPr="00B57B6A">
        <w:rPr>
          <w:rFonts w:ascii="Times New Roman" w:hAnsi="Times New Roman" w:cs="Times New Roman"/>
          <w:sz w:val="24"/>
          <w:szCs w:val="24"/>
        </w:rPr>
        <w:t>to understand the context of children placed in these places o</w:t>
      </w:r>
      <w:r w:rsidR="00293886" w:rsidRPr="00B57B6A">
        <w:rPr>
          <w:rFonts w:ascii="Times New Roman" w:hAnsi="Times New Roman" w:cs="Times New Roman"/>
          <w:sz w:val="24"/>
          <w:szCs w:val="24"/>
        </w:rPr>
        <w:t xml:space="preserve">f detention </w:t>
      </w:r>
      <w:r w:rsidR="00340147" w:rsidRPr="00B57B6A">
        <w:rPr>
          <w:rFonts w:ascii="Times New Roman" w:hAnsi="Times New Roman" w:cs="Times New Roman"/>
          <w:sz w:val="24"/>
          <w:szCs w:val="24"/>
        </w:rPr>
        <w:t>and the reasons such placement is so dangerous.</w:t>
      </w:r>
      <w:r w:rsidR="0066171B" w:rsidRPr="00B57B6A">
        <w:rPr>
          <w:rFonts w:ascii="Times New Roman" w:hAnsi="Times New Roman" w:cs="Times New Roman"/>
          <w:sz w:val="24"/>
          <w:szCs w:val="24"/>
        </w:rPr>
        <w:t xml:space="preserve"> </w:t>
      </w:r>
    </w:p>
    <w:p w14:paraId="037CF963" w14:textId="349C5D36" w:rsidR="004B40D7" w:rsidRPr="00B57B6A" w:rsidRDefault="002F0B76" w:rsidP="00EB136D">
      <w:pPr>
        <w:pStyle w:val="Heading2"/>
        <w:numPr>
          <w:ilvl w:val="0"/>
          <w:numId w:val="33"/>
        </w:numPr>
        <w:spacing w:line="240" w:lineRule="auto"/>
        <w:rPr>
          <w:rFonts w:ascii="Times New Roman" w:hAnsi="Times New Roman" w:cs="Times New Roman"/>
          <w:sz w:val="24"/>
          <w:szCs w:val="24"/>
        </w:rPr>
      </w:pPr>
      <w:bookmarkStart w:id="23" w:name="_Toc471468469"/>
      <w:r w:rsidRPr="00B57B6A">
        <w:rPr>
          <w:rFonts w:ascii="Times New Roman" w:hAnsi="Times New Roman" w:cs="Times New Roman"/>
          <w:sz w:val="24"/>
          <w:szCs w:val="24"/>
        </w:rPr>
        <w:t>Breadth of institutional placement</w:t>
      </w:r>
      <w:bookmarkEnd w:id="23"/>
    </w:p>
    <w:p w14:paraId="46BA0266" w14:textId="15F0AE13" w:rsidR="00515FC7" w:rsidRPr="00B57B6A" w:rsidRDefault="00293886"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placement of children in orphanages and other </w:t>
      </w:r>
      <w:r w:rsidR="00C63257" w:rsidRPr="00B57B6A">
        <w:rPr>
          <w:rFonts w:ascii="Times New Roman" w:hAnsi="Times New Roman" w:cs="Times New Roman"/>
          <w:sz w:val="24"/>
          <w:szCs w:val="24"/>
        </w:rPr>
        <w:t>institution</w:t>
      </w:r>
      <w:r w:rsidR="00A61D80" w:rsidRPr="00B57B6A">
        <w:rPr>
          <w:rFonts w:ascii="Times New Roman" w:hAnsi="Times New Roman" w:cs="Times New Roman"/>
          <w:sz w:val="24"/>
          <w:szCs w:val="24"/>
        </w:rPr>
        <w:t>s</w:t>
      </w:r>
      <w:r w:rsidR="00C63257" w:rsidRPr="00B57B6A">
        <w:rPr>
          <w:rFonts w:ascii="Times New Roman" w:hAnsi="Times New Roman" w:cs="Times New Roman"/>
          <w:sz w:val="24"/>
          <w:szCs w:val="24"/>
        </w:rPr>
        <w:t xml:space="preserve"> </w:t>
      </w:r>
      <w:r w:rsidRPr="00B57B6A">
        <w:rPr>
          <w:rFonts w:ascii="Times New Roman" w:hAnsi="Times New Roman" w:cs="Times New Roman"/>
          <w:sz w:val="24"/>
          <w:szCs w:val="24"/>
        </w:rPr>
        <w:t>is widespread.</w:t>
      </w:r>
      <w:r w:rsidRPr="00B57B6A">
        <w:rPr>
          <w:rStyle w:val="FootnoteReference"/>
          <w:rFonts w:ascii="Times New Roman" w:hAnsi="Times New Roman" w:cs="Times New Roman"/>
          <w:sz w:val="24"/>
          <w:szCs w:val="24"/>
        </w:rPr>
        <w:footnoteReference w:id="41"/>
      </w:r>
      <w:r w:rsidR="00FF424D" w:rsidRPr="00B57B6A">
        <w:rPr>
          <w:rFonts w:ascii="Times New Roman" w:hAnsi="Times New Roman" w:cs="Times New Roman"/>
          <w:sz w:val="24"/>
          <w:szCs w:val="24"/>
        </w:rPr>
        <w:t xml:space="preserve"> The United Nations</w:t>
      </w:r>
      <w:r w:rsidR="00C63257" w:rsidRPr="00B57B6A">
        <w:rPr>
          <w:rFonts w:ascii="Times New Roman" w:hAnsi="Times New Roman" w:cs="Times New Roman"/>
          <w:sz w:val="24"/>
          <w:szCs w:val="24"/>
        </w:rPr>
        <w:t xml:space="preserve"> has estimated that there are 8 million children in orphanages around the world.</w:t>
      </w:r>
      <w:r w:rsidR="00C63257" w:rsidRPr="00B57B6A">
        <w:rPr>
          <w:rStyle w:val="FootnoteReference"/>
          <w:rFonts w:ascii="Times New Roman" w:hAnsi="Times New Roman" w:cs="Times New Roman"/>
          <w:sz w:val="24"/>
          <w:szCs w:val="24"/>
        </w:rPr>
        <w:footnoteReference w:id="42"/>
      </w:r>
      <w:r w:rsidR="00C63257" w:rsidRPr="00B57B6A">
        <w:rPr>
          <w:rFonts w:ascii="Times New Roman" w:hAnsi="Times New Roman" w:cs="Times New Roman"/>
          <w:sz w:val="24"/>
          <w:szCs w:val="24"/>
        </w:rPr>
        <w:t xml:space="preserve"> According to Save the Children “[</w:t>
      </w:r>
      <w:r w:rsidR="00DD1206" w:rsidRPr="00B57B6A">
        <w:rPr>
          <w:rFonts w:ascii="Times New Roman" w:hAnsi="Times New Roman" w:cs="Times New Roman"/>
          <w:sz w:val="24"/>
          <w:szCs w:val="24"/>
        </w:rPr>
        <w:t>t]he</w:t>
      </w:r>
      <w:r w:rsidR="00C63257" w:rsidRPr="00B57B6A">
        <w:rPr>
          <w:rFonts w:ascii="Times New Roman" w:hAnsi="Times New Roman" w:cs="Times New Roman"/>
          <w:sz w:val="24"/>
          <w:szCs w:val="24"/>
        </w:rPr>
        <w:t xml:space="preserve"> actual figure is likely to be much higher, due to the proliferation of unregistered institutions and the lack of data on vulnerable children.”</w:t>
      </w:r>
      <w:bookmarkStart w:id="24" w:name="_Ref336851427"/>
      <w:r w:rsidR="00C63257" w:rsidRPr="00B57B6A">
        <w:rPr>
          <w:rStyle w:val="FootnoteReference"/>
          <w:rFonts w:ascii="Times New Roman" w:hAnsi="Times New Roman" w:cs="Times New Roman"/>
          <w:sz w:val="24"/>
          <w:szCs w:val="24"/>
        </w:rPr>
        <w:footnoteReference w:id="43"/>
      </w:r>
      <w:bookmarkEnd w:id="24"/>
      <w:r w:rsidR="00C63257" w:rsidRPr="00B57B6A">
        <w:rPr>
          <w:rFonts w:ascii="Times New Roman" w:hAnsi="Times New Roman" w:cs="Times New Roman"/>
          <w:sz w:val="24"/>
          <w:szCs w:val="24"/>
        </w:rPr>
        <w:t xml:space="preserve"> </w:t>
      </w:r>
      <w:r w:rsidR="00EF5C52" w:rsidRPr="00B57B6A">
        <w:rPr>
          <w:rFonts w:ascii="Times New Roman" w:hAnsi="Times New Roman" w:cs="Times New Roman"/>
          <w:sz w:val="24"/>
          <w:szCs w:val="24"/>
        </w:rPr>
        <w:t xml:space="preserve">In addition to the population of orphanages, </w:t>
      </w:r>
      <w:r w:rsidR="00C63257" w:rsidRPr="00B57B6A">
        <w:rPr>
          <w:rFonts w:ascii="Times New Roman" w:hAnsi="Times New Roman" w:cs="Times New Roman"/>
          <w:sz w:val="24"/>
          <w:szCs w:val="24"/>
        </w:rPr>
        <w:t>Disability R</w:t>
      </w:r>
      <w:r w:rsidRPr="00B57B6A">
        <w:rPr>
          <w:rFonts w:ascii="Times New Roman" w:hAnsi="Times New Roman" w:cs="Times New Roman"/>
          <w:sz w:val="24"/>
          <w:szCs w:val="24"/>
        </w:rPr>
        <w:t xml:space="preserve">ights International (DRI) </w:t>
      </w:r>
      <w:r w:rsidR="00FF424D" w:rsidRPr="00B57B6A">
        <w:rPr>
          <w:rFonts w:ascii="Times New Roman" w:hAnsi="Times New Roman" w:cs="Times New Roman"/>
          <w:sz w:val="24"/>
          <w:szCs w:val="24"/>
        </w:rPr>
        <w:t xml:space="preserve">has </w:t>
      </w:r>
      <w:r w:rsidRPr="00B57B6A">
        <w:rPr>
          <w:rFonts w:ascii="Times New Roman" w:hAnsi="Times New Roman" w:cs="Times New Roman"/>
          <w:sz w:val="24"/>
          <w:szCs w:val="24"/>
        </w:rPr>
        <w:t>found</w:t>
      </w:r>
      <w:r w:rsidR="00C63257" w:rsidRPr="00B57B6A">
        <w:rPr>
          <w:rFonts w:ascii="Times New Roman" w:hAnsi="Times New Roman" w:cs="Times New Roman"/>
          <w:sz w:val="24"/>
          <w:szCs w:val="24"/>
        </w:rPr>
        <w:t xml:space="preserve"> children detained in adult institutions, psychiatric facilities, </w:t>
      </w:r>
      <w:r w:rsidR="0068679B" w:rsidRPr="00B57B6A">
        <w:rPr>
          <w:rFonts w:ascii="Times New Roman" w:hAnsi="Times New Roman" w:cs="Times New Roman"/>
          <w:sz w:val="24"/>
          <w:szCs w:val="24"/>
        </w:rPr>
        <w:t>hospitals,</w:t>
      </w:r>
      <w:r w:rsidR="00E80338" w:rsidRPr="00B57B6A">
        <w:rPr>
          <w:rFonts w:ascii="Times New Roman" w:hAnsi="Times New Roman" w:cs="Times New Roman"/>
          <w:sz w:val="24"/>
          <w:szCs w:val="24"/>
        </w:rPr>
        <w:t xml:space="preserve"> maternity wards, infant “feeding centers,”</w:t>
      </w:r>
      <w:r w:rsidR="0068679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nursing homes, </w:t>
      </w:r>
      <w:r w:rsidR="00FF424D" w:rsidRPr="00B57B6A">
        <w:rPr>
          <w:rFonts w:ascii="Times New Roman" w:hAnsi="Times New Roman" w:cs="Times New Roman"/>
          <w:sz w:val="24"/>
          <w:szCs w:val="24"/>
        </w:rPr>
        <w:t>residential</w:t>
      </w:r>
      <w:r w:rsidR="00C63257" w:rsidRPr="00B57B6A">
        <w:rPr>
          <w:rFonts w:ascii="Times New Roman" w:hAnsi="Times New Roman" w:cs="Times New Roman"/>
          <w:sz w:val="24"/>
          <w:szCs w:val="24"/>
        </w:rPr>
        <w:t xml:space="preserve"> schools</w:t>
      </w:r>
      <w:r w:rsidR="000A55F7" w:rsidRPr="00B57B6A">
        <w:rPr>
          <w:rFonts w:ascii="Times New Roman" w:hAnsi="Times New Roman" w:cs="Times New Roman"/>
          <w:sz w:val="24"/>
          <w:szCs w:val="24"/>
        </w:rPr>
        <w:t>,</w:t>
      </w:r>
      <w:r w:rsidR="00A274BA" w:rsidRPr="00B57B6A">
        <w:rPr>
          <w:rFonts w:ascii="Times New Roman" w:hAnsi="Times New Roman" w:cs="Times New Roman"/>
          <w:sz w:val="24"/>
          <w:szCs w:val="24"/>
        </w:rPr>
        <w:t xml:space="preserve"> </w:t>
      </w:r>
      <w:r w:rsidR="0068679B" w:rsidRPr="00B57B6A">
        <w:rPr>
          <w:rFonts w:ascii="Times New Roman" w:hAnsi="Times New Roman" w:cs="Times New Roman"/>
          <w:sz w:val="24"/>
          <w:szCs w:val="24"/>
        </w:rPr>
        <w:t xml:space="preserve">vocational schools, </w:t>
      </w:r>
      <w:r w:rsidR="00E80338" w:rsidRPr="00B57B6A">
        <w:rPr>
          <w:rFonts w:ascii="Times New Roman" w:hAnsi="Times New Roman" w:cs="Times New Roman"/>
          <w:sz w:val="24"/>
          <w:szCs w:val="24"/>
        </w:rPr>
        <w:t xml:space="preserve">convents, monasteries, emergency relocation facilities, </w:t>
      </w:r>
      <w:r w:rsidR="00444FBC" w:rsidRPr="00B57B6A">
        <w:rPr>
          <w:rFonts w:ascii="Times New Roman" w:hAnsi="Times New Roman" w:cs="Times New Roman"/>
          <w:sz w:val="24"/>
          <w:szCs w:val="24"/>
        </w:rPr>
        <w:t xml:space="preserve">and other specialized </w:t>
      </w:r>
      <w:r w:rsidR="00E80338" w:rsidRPr="00B57B6A">
        <w:rPr>
          <w:rFonts w:ascii="Times New Roman" w:hAnsi="Times New Roman" w:cs="Times New Roman"/>
          <w:sz w:val="24"/>
          <w:szCs w:val="24"/>
        </w:rPr>
        <w:t xml:space="preserve">programs </w:t>
      </w:r>
      <w:r w:rsidR="00FF424D" w:rsidRPr="00B57B6A">
        <w:rPr>
          <w:rFonts w:ascii="Times New Roman" w:hAnsi="Times New Roman" w:cs="Times New Roman"/>
          <w:sz w:val="24"/>
          <w:szCs w:val="24"/>
        </w:rPr>
        <w:t>for children with disabilities</w:t>
      </w:r>
      <w:r w:rsidR="00EF5C52" w:rsidRPr="00B57B6A">
        <w:rPr>
          <w:rFonts w:ascii="Times New Roman" w:hAnsi="Times New Roman" w:cs="Times New Roman"/>
          <w:sz w:val="24"/>
          <w:szCs w:val="24"/>
        </w:rPr>
        <w:t xml:space="preserve"> </w:t>
      </w:r>
      <w:r w:rsidR="00700759">
        <w:rPr>
          <w:rFonts w:ascii="Times New Roman" w:hAnsi="Times New Roman" w:cs="Times New Roman"/>
          <w:sz w:val="24"/>
          <w:szCs w:val="24"/>
        </w:rPr>
        <w:t>–</w:t>
      </w:r>
      <w:r w:rsidR="002F0B76" w:rsidRPr="00B57B6A">
        <w:rPr>
          <w:rFonts w:ascii="Times New Roman" w:hAnsi="Times New Roman" w:cs="Times New Roman"/>
          <w:sz w:val="24"/>
          <w:szCs w:val="24"/>
        </w:rPr>
        <w:t xml:space="preserve"> </w:t>
      </w:r>
      <w:r w:rsidR="00444FBC" w:rsidRPr="00B57B6A">
        <w:rPr>
          <w:rFonts w:ascii="Times New Roman" w:hAnsi="Times New Roman" w:cs="Times New Roman"/>
          <w:sz w:val="24"/>
          <w:szCs w:val="24"/>
        </w:rPr>
        <w:t xml:space="preserve">often </w:t>
      </w:r>
      <w:r w:rsidR="00EF5C52" w:rsidRPr="00B57B6A">
        <w:rPr>
          <w:rFonts w:ascii="Times New Roman" w:hAnsi="Times New Roman" w:cs="Times New Roman"/>
          <w:sz w:val="24"/>
          <w:szCs w:val="24"/>
        </w:rPr>
        <w:t xml:space="preserve">uncounted, </w:t>
      </w:r>
      <w:r w:rsidR="00444FBC" w:rsidRPr="00B57B6A">
        <w:rPr>
          <w:rFonts w:ascii="Times New Roman" w:hAnsi="Times New Roman" w:cs="Times New Roman"/>
          <w:sz w:val="24"/>
          <w:szCs w:val="24"/>
        </w:rPr>
        <w:t>unregulated</w:t>
      </w:r>
      <w:r w:rsidR="00EF5C52" w:rsidRPr="00B57B6A">
        <w:rPr>
          <w:rFonts w:ascii="Times New Roman" w:hAnsi="Times New Roman" w:cs="Times New Roman"/>
          <w:sz w:val="24"/>
          <w:szCs w:val="24"/>
        </w:rPr>
        <w:t xml:space="preserve">, </w:t>
      </w:r>
      <w:r w:rsidR="00E80338" w:rsidRPr="00B57B6A">
        <w:rPr>
          <w:rFonts w:ascii="Times New Roman" w:hAnsi="Times New Roman" w:cs="Times New Roman"/>
          <w:sz w:val="24"/>
          <w:szCs w:val="24"/>
        </w:rPr>
        <w:t xml:space="preserve">or </w:t>
      </w:r>
      <w:r w:rsidR="00FF424D" w:rsidRPr="00B57B6A">
        <w:rPr>
          <w:rFonts w:ascii="Times New Roman" w:hAnsi="Times New Roman" w:cs="Times New Roman"/>
          <w:sz w:val="24"/>
          <w:szCs w:val="24"/>
        </w:rPr>
        <w:t xml:space="preserve">operated </w:t>
      </w:r>
      <w:r w:rsidR="00C63257" w:rsidRPr="00B57B6A">
        <w:rPr>
          <w:rFonts w:ascii="Times New Roman" w:hAnsi="Times New Roman" w:cs="Times New Roman"/>
          <w:sz w:val="24"/>
          <w:szCs w:val="24"/>
        </w:rPr>
        <w:t>entirely off the public record.</w:t>
      </w:r>
      <w:bookmarkStart w:id="25" w:name="_Ref464126924"/>
      <w:r w:rsidR="00C63257" w:rsidRPr="00B57B6A">
        <w:rPr>
          <w:rStyle w:val="FootnoteReference"/>
          <w:rFonts w:ascii="Times New Roman" w:hAnsi="Times New Roman" w:cs="Times New Roman"/>
          <w:sz w:val="24"/>
          <w:szCs w:val="24"/>
        </w:rPr>
        <w:footnoteReference w:id="44"/>
      </w:r>
      <w:bookmarkEnd w:id="25"/>
      <w:r w:rsidR="00515FC7" w:rsidRPr="00B57B6A">
        <w:rPr>
          <w:rFonts w:ascii="Times New Roman" w:hAnsi="Times New Roman" w:cs="Times New Roman"/>
          <w:sz w:val="24"/>
          <w:szCs w:val="24"/>
        </w:rPr>
        <w:t xml:space="preserve"> </w:t>
      </w:r>
      <w:r w:rsidR="00FF424D" w:rsidRPr="00B57B6A">
        <w:rPr>
          <w:rFonts w:ascii="Times New Roman" w:hAnsi="Times New Roman" w:cs="Times New Roman"/>
          <w:sz w:val="24"/>
          <w:szCs w:val="24"/>
        </w:rPr>
        <w:t>S</w:t>
      </w:r>
      <w:r w:rsidR="000A55F7" w:rsidRPr="00B57B6A">
        <w:rPr>
          <w:rFonts w:ascii="Times New Roman" w:hAnsi="Times New Roman" w:cs="Times New Roman"/>
          <w:sz w:val="24"/>
          <w:szCs w:val="24"/>
        </w:rPr>
        <w:t xml:space="preserve">ome estimates place </w:t>
      </w:r>
      <w:r w:rsidR="006C0A07" w:rsidRPr="00B57B6A">
        <w:rPr>
          <w:rFonts w:ascii="Times New Roman" w:hAnsi="Times New Roman" w:cs="Times New Roman"/>
          <w:sz w:val="24"/>
          <w:szCs w:val="24"/>
        </w:rPr>
        <w:t>the number of c</w:t>
      </w:r>
      <w:r w:rsidR="00FF424D" w:rsidRPr="00B57B6A">
        <w:rPr>
          <w:rFonts w:ascii="Times New Roman" w:hAnsi="Times New Roman" w:cs="Times New Roman"/>
          <w:sz w:val="24"/>
          <w:szCs w:val="24"/>
        </w:rPr>
        <w:t xml:space="preserve">hildren in </w:t>
      </w:r>
      <w:r w:rsidR="000A55F7" w:rsidRPr="00B57B6A">
        <w:rPr>
          <w:rFonts w:ascii="Times New Roman" w:hAnsi="Times New Roman" w:cs="Times New Roman"/>
          <w:sz w:val="24"/>
          <w:szCs w:val="24"/>
        </w:rPr>
        <w:t xml:space="preserve">institutions </w:t>
      </w:r>
      <w:r w:rsidR="00BF1354" w:rsidRPr="00B57B6A">
        <w:rPr>
          <w:rFonts w:ascii="Times New Roman" w:hAnsi="Times New Roman" w:cs="Times New Roman"/>
          <w:sz w:val="24"/>
          <w:szCs w:val="24"/>
        </w:rPr>
        <w:t xml:space="preserve">around the world </w:t>
      </w:r>
      <w:r w:rsidR="000A55F7" w:rsidRPr="00B57B6A">
        <w:rPr>
          <w:rFonts w:ascii="Times New Roman" w:hAnsi="Times New Roman" w:cs="Times New Roman"/>
          <w:sz w:val="24"/>
          <w:szCs w:val="24"/>
        </w:rPr>
        <w:t>at</w:t>
      </w:r>
      <w:r w:rsidR="006C0A07" w:rsidRPr="00B57B6A">
        <w:rPr>
          <w:rFonts w:ascii="Times New Roman" w:hAnsi="Times New Roman" w:cs="Times New Roman"/>
          <w:sz w:val="24"/>
          <w:szCs w:val="24"/>
        </w:rPr>
        <w:t xml:space="preserve"> 10 million or more.</w:t>
      </w:r>
      <w:r w:rsidR="006C0A07" w:rsidRPr="00B57B6A">
        <w:rPr>
          <w:rStyle w:val="FootnoteReference"/>
          <w:rFonts w:ascii="Times New Roman" w:hAnsi="Times New Roman" w:cs="Times New Roman"/>
          <w:sz w:val="24"/>
          <w:szCs w:val="24"/>
        </w:rPr>
        <w:footnoteReference w:id="45"/>
      </w:r>
    </w:p>
    <w:p w14:paraId="1C0898C6" w14:textId="20DF3F60" w:rsidR="006C0A07" w:rsidRPr="00B57B6A" w:rsidRDefault="00E40ED9"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lastRenderedPageBreak/>
        <w:t>While many countries have phased out institutions for children</w:t>
      </w:r>
      <w:r w:rsidR="00165416" w:rsidRPr="00B57B6A">
        <w:rPr>
          <w:rFonts w:ascii="Times New Roman" w:hAnsi="Times New Roman" w:cs="Times New Roman"/>
          <w:sz w:val="24"/>
          <w:szCs w:val="24"/>
        </w:rPr>
        <w:t>,</w:t>
      </w:r>
      <w:r w:rsidRPr="00B57B6A">
        <w:rPr>
          <w:rStyle w:val="FootnoteReference"/>
          <w:rFonts w:ascii="Times New Roman" w:hAnsi="Times New Roman" w:cs="Times New Roman"/>
          <w:sz w:val="24"/>
          <w:szCs w:val="24"/>
        </w:rPr>
        <w:footnoteReference w:id="46"/>
      </w:r>
      <w:r w:rsidR="00165416" w:rsidRPr="00B57B6A">
        <w:rPr>
          <w:rFonts w:ascii="Times New Roman" w:hAnsi="Times New Roman" w:cs="Times New Roman"/>
          <w:sz w:val="24"/>
          <w:szCs w:val="24"/>
        </w:rPr>
        <w:t xml:space="preserve"> t</w:t>
      </w:r>
      <w:r w:rsidR="00BF1354" w:rsidRPr="00B57B6A">
        <w:rPr>
          <w:rFonts w:ascii="Times New Roman" w:hAnsi="Times New Roman" w:cs="Times New Roman"/>
          <w:sz w:val="24"/>
          <w:szCs w:val="24"/>
        </w:rPr>
        <w:t>he</w:t>
      </w:r>
      <w:r w:rsidR="006C0A07" w:rsidRPr="00B57B6A">
        <w:rPr>
          <w:rFonts w:ascii="Times New Roman" w:hAnsi="Times New Roman" w:cs="Times New Roman"/>
          <w:sz w:val="24"/>
          <w:szCs w:val="24"/>
        </w:rPr>
        <w:t xml:space="preserve"> number of children </w:t>
      </w:r>
      <w:r w:rsidRPr="00B57B6A">
        <w:rPr>
          <w:rFonts w:ascii="Times New Roman" w:hAnsi="Times New Roman" w:cs="Times New Roman"/>
          <w:sz w:val="24"/>
          <w:szCs w:val="24"/>
        </w:rPr>
        <w:t>in orphanages</w:t>
      </w:r>
      <w:r w:rsidR="00FF424D" w:rsidRPr="00B57B6A">
        <w:rPr>
          <w:rFonts w:ascii="Times New Roman" w:hAnsi="Times New Roman" w:cs="Times New Roman"/>
          <w:sz w:val="24"/>
          <w:szCs w:val="24"/>
        </w:rPr>
        <w:t xml:space="preserve"> </w:t>
      </w:r>
      <w:r w:rsidR="006C0A07" w:rsidRPr="00B57B6A">
        <w:rPr>
          <w:rFonts w:ascii="Times New Roman" w:hAnsi="Times New Roman" w:cs="Times New Roman"/>
          <w:sz w:val="24"/>
          <w:szCs w:val="24"/>
        </w:rPr>
        <w:t>is on the rise</w:t>
      </w:r>
      <w:r w:rsidR="00165416" w:rsidRPr="00B57B6A">
        <w:rPr>
          <w:rFonts w:ascii="Times New Roman" w:hAnsi="Times New Roman" w:cs="Times New Roman"/>
          <w:sz w:val="24"/>
          <w:szCs w:val="24"/>
        </w:rPr>
        <w:t xml:space="preserve"> in </w:t>
      </w:r>
      <w:r w:rsidR="000A0084">
        <w:rPr>
          <w:rFonts w:ascii="Times New Roman" w:hAnsi="Times New Roman" w:cs="Times New Roman"/>
          <w:sz w:val="24"/>
          <w:szCs w:val="24"/>
        </w:rPr>
        <w:t>many parts of the world.</w:t>
      </w:r>
      <w:bookmarkStart w:id="26" w:name="_Ref471307294"/>
      <w:r w:rsidR="006C0A07" w:rsidRPr="00B57B6A">
        <w:rPr>
          <w:rStyle w:val="FootnoteReference"/>
          <w:rFonts w:ascii="Times New Roman" w:hAnsi="Times New Roman" w:cs="Times New Roman"/>
          <w:sz w:val="24"/>
          <w:szCs w:val="24"/>
        </w:rPr>
        <w:footnoteReference w:id="47"/>
      </w:r>
      <w:bookmarkEnd w:id="26"/>
      <w:r w:rsidR="00BF1354" w:rsidRPr="00B57B6A">
        <w:rPr>
          <w:rFonts w:ascii="Times New Roman" w:hAnsi="Times New Roman" w:cs="Times New Roman"/>
          <w:sz w:val="24"/>
          <w:szCs w:val="24"/>
        </w:rPr>
        <w:t xml:space="preserve"> The population</w:t>
      </w:r>
      <w:r w:rsidR="00A70DA1">
        <w:rPr>
          <w:rFonts w:ascii="Times New Roman" w:hAnsi="Times New Roman" w:cs="Times New Roman"/>
          <w:sz w:val="24"/>
          <w:szCs w:val="24"/>
        </w:rPr>
        <w:t>s</w:t>
      </w:r>
      <w:r w:rsidR="00BF1354" w:rsidRPr="00B57B6A">
        <w:rPr>
          <w:rFonts w:ascii="Times New Roman" w:hAnsi="Times New Roman" w:cs="Times New Roman"/>
          <w:sz w:val="24"/>
          <w:szCs w:val="24"/>
        </w:rPr>
        <w:t xml:space="preserve"> of institutions </w:t>
      </w:r>
      <w:r w:rsidR="00FF424D" w:rsidRPr="00B57B6A">
        <w:rPr>
          <w:rFonts w:ascii="Times New Roman" w:hAnsi="Times New Roman" w:cs="Times New Roman"/>
          <w:sz w:val="24"/>
          <w:szCs w:val="24"/>
        </w:rPr>
        <w:t xml:space="preserve">are </w:t>
      </w:r>
      <w:r w:rsidR="005D43B4">
        <w:rPr>
          <w:rFonts w:ascii="Times New Roman" w:hAnsi="Times New Roman" w:cs="Times New Roman"/>
          <w:sz w:val="24"/>
          <w:szCs w:val="24"/>
        </w:rPr>
        <w:t>increasing</w:t>
      </w:r>
      <w:r w:rsidR="000326D9" w:rsidRPr="00B57B6A">
        <w:rPr>
          <w:rFonts w:ascii="Times New Roman" w:hAnsi="Times New Roman" w:cs="Times New Roman"/>
          <w:sz w:val="24"/>
          <w:szCs w:val="24"/>
        </w:rPr>
        <w:t xml:space="preserve"> </w:t>
      </w:r>
      <w:r w:rsidR="005D43B4">
        <w:rPr>
          <w:rFonts w:ascii="Times New Roman" w:hAnsi="Times New Roman" w:cs="Times New Roman"/>
          <w:sz w:val="24"/>
          <w:szCs w:val="24"/>
        </w:rPr>
        <w:t>particularly rapidly</w:t>
      </w:r>
      <w:r w:rsidR="000326D9" w:rsidRPr="00B57B6A">
        <w:rPr>
          <w:rFonts w:ascii="Times New Roman" w:hAnsi="Times New Roman" w:cs="Times New Roman"/>
          <w:sz w:val="24"/>
          <w:szCs w:val="24"/>
        </w:rPr>
        <w:t xml:space="preserve"> </w:t>
      </w:r>
      <w:r w:rsidR="000E00E7" w:rsidRPr="00B57B6A">
        <w:rPr>
          <w:rFonts w:ascii="Times New Roman" w:hAnsi="Times New Roman" w:cs="Times New Roman"/>
          <w:sz w:val="24"/>
          <w:szCs w:val="24"/>
        </w:rPr>
        <w:t xml:space="preserve">in </w:t>
      </w:r>
      <w:r w:rsidR="00444FBC" w:rsidRPr="00B57B6A">
        <w:rPr>
          <w:rFonts w:ascii="Times New Roman" w:hAnsi="Times New Roman" w:cs="Times New Roman"/>
          <w:sz w:val="24"/>
          <w:szCs w:val="24"/>
        </w:rPr>
        <w:t>c</w:t>
      </w:r>
      <w:r w:rsidR="000E00E7" w:rsidRPr="00B57B6A">
        <w:rPr>
          <w:rFonts w:ascii="Times New Roman" w:hAnsi="Times New Roman" w:cs="Times New Roman"/>
          <w:sz w:val="24"/>
          <w:szCs w:val="24"/>
        </w:rPr>
        <w:t>ountries that receive extensive foreign assistance</w:t>
      </w:r>
      <w:r w:rsidR="00444FBC" w:rsidRPr="00B57B6A">
        <w:rPr>
          <w:rFonts w:ascii="Times New Roman" w:hAnsi="Times New Roman" w:cs="Times New Roman"/>
          <w:sz w:val="24"/>
          <w:szCs w:val="24"/>
        </w:rPr>
        <w:t xml:space="preserve"> and</w:t>
      </w:r>
      <w:r w:rsidR="000E00E7" w:rsidRPr="00B57B6A">
        <w:rPr>
          <w:rFonts w:ascii="Times New Roman" w:hAnsi="Times New Roman" w:cs="Times New Roman"/>
          <w:sz w:val="24"/>
          <w:szCs w:val="24"/>
        </w:rPr>
        <w:t xml:space="preserve"> </w:t>
      </w:r>
      <w:r w:rsidR="00444FBC" w:rsidRPr="00B57B6A">
        <w:rPr>
          <w:rFonts w:ascii="Times New Roman" w:hAnsi="Times New Roman" w:cs="Times New Roman"/>
          <w:sz w:val="24"/>
          <w:szCs w:val="24"/>
        </w:rPr>
        <w:t xml:space="preserve">charity </w:t>
      </w:r>
      <w:r w:rsidR="000E00E7" w:rsidRPr="00B57B6A">
        <w:rPr>
          <w:rFonts w:ascii="Times New Roman" w:hAnsi="Times New Roman" w:cs="Times New Roman"/>
          <w:sz w:val="24"/>
          <w:szCs w:val="24"/>
        </w:rPr>
        <w:t>donations to orphanages.</w:t>
      </w:r>
      <w:bookmarkStart w:id="27" w:name="_Ref336856428"/>
      <w:r w:rsidR="000E00E7" w:rsidRPr="00B57B6A">
        <w:rPr>
          <w:rStyle w:val="FootnoteReference"/>
          <w:rFonts w:ascii="Times New Roman" w:hAnsi="Times New Roman" w:cs="Times New Roman"/>
          <w:sz w:val="24"/>
          <w:szCs w:val="24"/>
        </w:rPr>
        <w:footnoteReference w:id="48"/>
      </w:r>
      <w:bookmarkEnd w:id="27"/>
      <w:r w:rsidR="000E00E7" w:rsidRPr="00B57B6A">
        <w:rPr>
          <w:rFonts w:ascii="Times New Roman" w:hAnsi="Times New Roman" w:cs="Times New Roman"/>
          <w:sz w:val="24"/>
          <w:szCs w:val="24"/>
        </w:rPr>
        <w:t xml:space="preserve"> </w:t>
      </w:r>
      <w:r w:rsidR="00444FBC" w:rsidRPr="00B57B6A">
        <w:rPr>
          <w:rFonts w:ascii="Times New Roman" w:hAnsi="Times New Roman" w:cs="Times New Roman"/>
          <w:sz w:val="24"/>
          <w:szCs w:val="24"/>
        </w:rPr>
        <w:t>In recent years, the practice of volunteering in orphanages has become a billion dollar business, resulting in a major new infusion of funding into these facilities.</w:t>
      </w:r>
      <w:r w:rsidR="007B674F" w:rsidRPr="00B57B6A">
        <w:rPr>
          <w:rStyle w:val="FootnoteReference"/>
          <w:rFonts w:ascii="Times New Roman" w:hAnsi="Times New Roman" w:cs="Times New Roman"/>
          <w:sz w:val="24"/>
          <w:szCs w:val="24"/>
        </w:rPr>
        <w:footnoteReference w:id="49"/>
      </w:r>
      <w:r w:rsidR="00444FBC" w:rsidRPr="00B57B6A">
        <w:rPr>
          <w:rFonts w:ascii="Times New Roman" w:hAnsi="Times New Roman" w:cs="Times New Roman"/>
          <w:sz w:val="24"/>
          <w:szCs w:val="24"/>
        </w:rPr>
        <w:t xml:space="preserve"> </w:t>
      </w:r>
      <w:r w:rsidR="000E00E7" w:rsidRPr="00B57B6A">
        <w:rPr>
          <w:rFonts w:ascii="Times New Roman" w:hAnsi="Times New Roman" w:cs="Times New Roman"/>
          <w:sz w:val="24"/>
          <w:szCs w:val="24"/>
        </w:rPr>
        <w:t>While many countries have a long tradition of placing children with and without disabilities in institutions, international assistance from charities and development organizations appears to be one of the major drivers toward increased institutionalization of children.</w:t>
      </w:r>
      <w:bookmarkStart w:id="28" w:name="_Ref471310378"/>
      <w:r w:rsidR="00E1628B" w:rsidRPr="00B57B6A">
        <w:rPr>
          <w:rStyle w:val="FootnoteReference"/>
          <w:rFonts w:ascii="Times New Roman" w:hAnsi="Times New Roman" w:cs="Times New Roman"/>
          <w:sz w:val="24"/>
          <w:szCs w:val="24"/>
        </w:rPr>
        <w:footnoteReference w:id="50"/>
      </w:r>
      <w:bookmarkEnd w:id="28"/>
    </w:p>
    <w:p w14:paraId="3D7FC7AE" w14:textId="21B40988" w:rsidR="003E7243" w:rsidRPr="00B57B6A" w:rsidRDefault="003E7243"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Perhaps the greatest misunderstanding about orphanages is that </w:t>
      </w:r>
      <w:r w:rsidR="00F341B1" w:rsidRPr="00B57B6A">
        <w:rPr>
          <w:rFonts w:ascii="Times New Roman" w:hAnsi="Times New Roman" w:cs="Times New Roman"/>
          <w:sz w:val="24"/>
          <w:szCs w:val="24"/>
        </w:rPr>
        <w:t>they</w:t>
      </w:r>
      <w:r w:rsidRPr="00B57B6A">
        <w:rPr>
          <w:rFonts w:ascii="Times New Roman" w:hAnsi="Times New Roman" w:cs="Times New Roman"/>
          <w:sz w:val="24"/>
          <w:szCs w:val="24"/>
        </w:rPr>
        <w:t xml:space="preserve"> mainly house</w:t>
      </w:r>
      <w:r w:rsidR="00A12AB7" w:rsidRPr="00B57B6A">
        <w:rPr>
          <w:rFonts w:ascii="Times New Roman" w:hAnsi="Times New Roman" w:cs="Times New Roman"/>
          <w:sz w:val="24"/>
          <w:szCs w:val="24"/>
        </w:rPr>
        <w:t xml:space="preserve"> orphans. Estimates vary</w:t>
      </w:r>
      <w:r w:rsidR="00F4497A" w:rsidRPr="00B57B6A">
        <w:rPr>
          <w:rFonts w:ascii="Times New Roman" w:hAnsi="Times New Roman" w:cs="Times New Roman"/>
          <w:sz w:val="24"/>
          <w:szCs w:val="24"/>
        </w:rPr>
        <w:t xml:space="preserve">, but Every Child has estimated that </w:t>
      </w:r>
      <w:r w:rsidR="00A12AB7" w:rsidRPr="00B57B6A">
        <w:rPr>
          <w:rFonts w:ascii="Times New Roman" w:hAnsi="Times New Roman" w:cs="Times New Roman"/>
          <w:sz w:val="24"/>
          <w:szCs w:val="24"/>
        </w:rPr>
        <w:t xml:space="preserve">in Europe </w:t>
      </w:r>
      <w:r w:rsidRPr="00B57B6A">
        <w:rPr>
          <w:rFonts w:ascii="Times New Roman" w:hAnsi="Times New Roman" w:cs="Times New Roman"/>
          <w:sz w:val="24"/>
          <w:szCs w:val="24"/>
        </w:rPr>
        <w:t xml:space="preserve">90-99% of children </w:t>
      </w:r>
      <w:r w:rsidR="00F4497A" w:rsidRPr="00B57B6A">
        <w:rPr>
          <w:rFonts w:ascii="Times New Roman" w:hAnsi="Times New Roman" w:cs="Times New Roman"/>
          <w:sz w:val="24"/>
          <w:szCs w:val="24"/>
        </w:rPr>
        <w:t>in orphanage</w:t>
      </w:r>
      <w:r w:rsidR="00A12AB7" w:rsidRPr="00B57B6A">
        <w:rPr>
          <w:rFonts w:ascii="Times New Roman" w:hAnsi="Times New Roman" w:cs="Times New Roman"/>
          <w:sz w:val="24"/>
          <w:szCs w:val="24"/>
        </w:rPr>
        <w:t>s</w:t>
      </w:r>
      <w:r w:rsidR="00A70DA1">
        <w:rPr>
          <w:rFonts w:ascii="Times New Roman" w:hAnsi="Times New Roman" w:cs="Times New Roman"/>
          <w:sz w:val="24"/>
          <w:szCs w:val="24"/>
        </w:rPr>
        <w:t xml:space="preserve"> </w:t>
      </w:r>
      <w:r w:rsidR="00F4497A" w:rsidRPr="00B57B6A">
        <w:rPr>
          <w:rFonts w:ascii="Times New Roman" w:hAnsi="Times New Roman" w:cs="Times New Roman"/>
          <w:sz w:val="24"/>
          <w:szCs w:val="24"/>
        </w:rPr>
        <w:t>have</w:t>
      </w:r>
      <w:r w:rsidRPr="00B57B6A">
        <w:rPr>
          <w:rFonts w:ascii="Times New Roman" w:hAnsi="Times New Roman" w:cs="Times New Roman"/>
          <w:sz w:val="24"/>
          <w:szCs w:val="24"/>
        </w:rPr>
        <w:t xml:space="preserve"> at least one living parent.</w:t>
      </w:r>
      <w:bookmarkStart w:id="29" w:name="_Ref334294741"/>
      <w:r w:rsidRPr="00B57B6A">
        <w:rPr>
          <w:rStyle w:val="FootnoteReference"/>
          <w:rFonts w:ascii="Times New Roman" w:hAnsi="Times New Roman" w:cs="Times New Roman"/>
          <w:sz w:val="24"/>
          <w:szCs w:val="24"/>
        </w:rPr>
        <w:footnoteReference w:id="51"/>
      </w:r>
      <w:bookmarkEnd w:id="29"/>
      <w:r w:rsidRPr="00B57B6A">
        <w:rPr>
          <w:rFonts w:ascii="Times New Roman" w:hAnsi="Times New Roman" w:cs="Times New Roman"/>
          <w:sz w:val="24"/>
          <w:szCs w:val="24"/>
        </w:rPr>
        <w:t xml:space="preserve"> </w:t>
      </w:r>
      <w:r w:rsidR="0095537C">
        <w:rPr>
          <w:rFonts w:ascii="Times New Roman" w:hAnsi="Times New Roman" w:cs="Times New Roman"/>
          <w:sz w:val="24"/>
          <w:szCs w:val="24"/>
        </w:rPr>
        <w:t>Others have estimated that more than 80% of children in orphanages worldwide have a living parent.</w:t>
      </w:r>
      <w:r w:rsidR="0095537C">
        <w:rPr>
          <w:rStyle w:val="FootnoteReference"/>
          <w:rFonts w:ascii="Times New Roman" w:hAnsi="Times New Roman" w:cs="Times New Roman"/>
          <w:sz w:val="24"/>
          <w:szCs w:val="24"/>
        </w:rPr>
        <w:footnoteReference w:id="52"/>
      </w:r>
      <w:r w:rsidR="0095537C">
        <w:rPr>
          <w:rFonts w:ascii="Times New Roman" w:hAnsi="Times New Roman" w:cs="Times New Roman"/>
          <w:sz w:val="24"/>
          <w:szCs w:val="24"/>
        </w:rPr>
        <w:t xml:space="preserve"> </w:t>
      </w:r>
      <w:r w:rsidR="00AB5F1C" w:rsidRPr="00B57B6A">
        <w:rPr>
          <w:rFonts w:ascii="Times New Roman" w:hAnsi="Times New Roman" w:cs="Times New Roman"/>
          <w:sz w:val="24"/>
          <w:szCs w:val="24"/>
        </w:rPr>
        <w:t xml:space="preserve">Almost every child has </w:t>
      </w:r>
      <w:r w:rsidR="00FF424D" w:rsidRPr="00B57B6A">
        <w:rPr>
          <w:rFonts w:ascii="Times New Roman" w:hAnsi="Times New Roman" w:cs="Times New Roman"/>
          <w:sz w:val="24"/>
          <w:szCs w:val="24"/>
        </w:rPr>
        <w:t xml:space="preserve">some </w:t>
      </w:r>
      <w:r w:rsidR="00AB5F1C" w:rsidRPr="00B57B6A">
        <w:rPr>
          <w:rFonts w:ascii="Times New Roman" w:hAnsi="Times New Roman" w:cs="Times New Roman"/>
          <w:sz w:val="24"/>
          <w:szCs w:val="24"/>
        </w:rPr>
        <w:t>extended family.</w:t>
      </w:r>
      <w:r w:rsidRPr="00B57B6A">
        <w:rPr>
          <w:rFonts w:ascii="Times New Roman" w:hAnsi="Times New Roman" w:cs="Times New Roman"/>
          <w:sz w:val="24"/>
          <w:szCs w:val="24"/>
        </w:rPr>
        <w:t xml:space="preserve"> The majority of children are placed in orphanages because of poverty</w:t>
      </w:r>
      <w:r w:rsidR="00C514CB" w:rsidRPr="00B57B6A">
        <w:rPr>
          <w:rStyle w:val="FootnoteReference"/>
          <w:rFonts w:ascii="Times New Roman" w:hAnsi="Times New Roman" w:cs="Times New Roman"/>
          <w:sz w:val="24"/>
          <w:szCs w:val="24"/>
        </w:rPr>
        <w:footnoteReference w:id="53"/>
      </w:r>
      <w:r w:rsidRPr="00B57B6A">
        <w:rPr>
          <w:rFonts w:ascii="Times New Roman" w:hAnsi="Times New Roman" w:cs="Times New Roman"/>
          <w:sz w:val="24"/>
          <w:szCs w:val="24"/>
        </w:rPr>
        <w:t xml:space="preserve"> or disability.</w:t>
      </w:r>
      <w:bookmarkStart w:id="30" w:name="_Ref334309428"/>
      <w:r w:rsidR="00FC6889" w:rsidRPr="00B57B6A">
        <w:rPr>
          <w:rStyle w:val="FootnoteReference"/>
          <w:rFonts w:ascii="Times New Roman" w:hAnsi="Times New Roman" w:cs="Times New Roman"/>
          <w:sz w:val="24"/>
          <w:szCs w:val="24"/>
        </w:rPr>
        <w:footnoteReference w:id="54"/>
      </w:r>
      <w:bookmarkEnd w:id="30"/>
      <w:r w:rsidRPr="00B57B6A">
        <w:rPr>
          <w:rFonts w:ascii="Times New Roman" w:hAnsi="Times New Roman" w:cs="Times New Roman"/>
          <w:sz w:val="24"/>
          <w:szCs w:val="24"/>
        </w:rPr>
        <w:t xml:space="preserve"> In societies </w:t>
      </w:r>
      <w:r w:rsidRPr="00B57B6A">
        <w:rPr>
          <w:rFonts w:ascii="Times New Roman" w:hAnsi="Times New Roman" w:cs="Times New Roman"/>
          <w:sz w:val="24"/>
          <w:szCs w:val="24"/>
        </w:rPr>
        <w:lastRenderedPageBreak/>
        <w:t>without support</w:t>
      </w:r>
      <w:r w:rsidR="00FF424D" w:rsidRPr="00B57B6A">
        <w:rPr>
          <w:rFonts w:ascii="Times New Roman" w:hAnsi="Times New Roman" w:cs="Times New Roman"/>
          <w:sz w:val="24"/>
          <w:szCs w:val="24"/>
        </w:rPr>
        <w:t>ive</w:t>
      </w:r>
      <w:r w:rsidRPr="00B57B6A">
        <w:rPr>
          <w:rFonts w:ascii="Times New Roman" w:hAnsi="Times New Roman" w:cs="Times New Roman"/>
          <w:sz w:val="24"/>
          <w:szCs w:val="24"/>
        </w:rPr>
        <w:t xml:space="preserve"> services to help families keep their children with disabilities, </w:t>
      </w:r>
      <w:r w:rsidR="00FF424D" w:rsidRPr="00B57B6A">
        <w:rPr>
          <w:rFonts w:ascii="Times New Roman" w:hAnsi="Times New Roman" w:cs="Times New Roman"/>
          <w:sz w:val="24"/>
          <w:szCs w:val="24"/>
        </w:rPr>
        <w:t xml:space="preserve">DRI has observed that </w:t>
      </w:r>
      <w:r w:rsidRPr="00B57B6A">
        <w:rPr>
          <w:rFonts w:ascii="Times New Roman" w:hAnsi="Times New Roman" w:cs="Times New Roman"/>
          <w:sz w:val="24"/>
          <w:szCs w:val="24"/>
        </w:rPr>
        <w:t>many parents feel they have no choice but to p</w:t>
      </w:r>
      <w:r w:rsidR="00220CEB">
        <w:rPr>
          <w:rFonts w:ascii="Times New Roman" w:hAnsi="Times New Roman" w:cs="Times New Roman"/>
          <w:sz w:val="24"/>
          <w:szCs w:val="24"/>
        </w:rPr>
        <w:t>lace</w:t>
      </w:r>
      <w:r w:rsidRPr="00B57B6A">
        <w:rPr>
          <w:rFonts w:ascii="Times New Roman" w:hAnsi="Times New Roman" w:cs="Times New Roman"/>
          <w:sz w:val="24"/>
          <w:szCs w:val="24"/>
        </w:rPr>
        <w:t xml:space="preserve"> a child in an orphanage or other residential institution</w:t>
      </w:r>
      <w:r w:rsidR="00D175E4" w:rsidRPr="00B57B6A">
        <w:rPr>
          <w:rFonts w:ascii="Times New Roman" w:hAnsi="Times New Roman" w:cs="Times New Roman"/>
          <w:sz w:val="24"/>
          <w:szCs w:val="24"/>
        </w:rPr>
        <w:t>.</w:t>
      </w:r>
      <w:bookmarkStart w:id="31" w:name="_Ref464126805"/>
      <w:r w:rsidR="00D175E4" w:rsidRPr="00B57B6A">
        <w:rPr>
          <w:rStyle w:val="FootnoteReference"/>
          <w:rFonts w:ascii="Times New Roman" w:hAnsi="Times New Roman" w:cs="Times New Roman"/>
          <w:sz w:val="24"/>
          <w:szCs w:val="24"/>
        </w:rPr>
        <w:footnoteReference w:id="55"/>
      </w:r>
      <w:bookmarkEnd w:id="31"/>
      <w:r w:rsidR="0053530B" w:rsidRPr="00B57B6A">
        <w:rPr>
          <w:rFonts w:ascii="Times New Roman" w:hAnsi="Times New Roman" w:cs="Times New Roman"/>
          <w:sz w:val="24"/>
          <w:szCs w:val="24"/>
        </w:rPr>
        <w:t xml:space="preserve"> </w:t>
      </w:r>
      <w:r w:rsidRPr="00B57B6A">
        <w:rPr>
          <w:rFonts w:ascii="Times New Roman" w:hAnsi="Times New Roman" w:cs="Times New Roman"/>
          <w:sz w:val="24"/>
          <w:szCs w:val="24"/>
        </w:rPr>
        <w:t>Prejudices and discrimination against adults with disabilities also plays into orphanage placement, as mothers with disabilities are systematically deprived of their parental rights in many countries.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 </w:t>
      </w:r>
    </w:p>
    <w:p w14:paraId="6B25A06D" w14:textId="6DB0B030" w:rsidR="004B40D7" w:rsidRPr="00B57B6A" w:rsidRDefault="004B40D7" w:rsidP="00EB136D">
      <w:pPr>
        <w:pStyle w:val="Heading2"/>
        <w:numPr>
          <w:ilvl w:val="0"/>
          <w:numId w:val="33"/>
        </w:numPr>
        <w:spacing w:line="240" w:lineRule="auto"/>
        <w:rPr>
          <w:rFonts w:ascii="Times New Roman" w:hAnsi="Times New Roman" w:cs="Times New Roman"/>
          <w:sz w:val="24"/>
          <w:szCs w:val="24"/>
        </w:rPr>
      </w:pPr>
      <w:bookmarkStart w:id="32" w:name="_Toc471468470"/>
      <w:r w:rsidRPr="00B57B6A">
        <w:rPr>
          <w:rFonts w:ascii="Times New Roman" w:hAnsi="Times New Roman" w:cs="Times New Roman"/>
          <w:sz w:val="24"/>
          <w:szCs w:val="24"/>
        </w:rPr>
        <w:t>Inherent dangers of institutionalization</w:t>
      </w:r>
      <w:bookmarkEnd w:id="32"/>
    </w:p>
    <w:p w14:paraId="2992096E" w14:textId="60A2B687" w:rsidR="002B16AC" w:rsidRPr="00B57B6A" w:rsidRDefault="00FF424D"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At the outset of the</w:t>
      </w:r>
      <w:r w:rsidR="00CD51BD" w:rsidRPr="00B57B6A">
        <w:rPr>
          <w:rFonts w:ascii="Times New Roman" w:hAnsi="Times New Roman" w:cs="Times New Roman"/>
          <w:sz w:val="24"/>
          <w:szCs w:val="24"/>
        </w:rPr>
        <w:t xml:space="preserve"> report</w:t>
      </w:r>
      <w:r w:rsidRPr="00B57B6A">
        <w:rPr>
          <w:rFonts w:ascii="Times New Roman" w:hAnsi="Times New Roman" w:cs="Times New Roman"/>
          <w:sz w:val="24"/>
          <w:szCs w:val="24"/>
        </w:rPr>
        <w:t xml:space="preserve"> on Children in Detention</w:t>
      </w:r>
      <w:r w:rsidR="000A55F7" w:rsidRPr="00B57B6A">
        <w:rPr>
          <w:rFonts w:ascii="Times New Roman" w:hAnsi="Times New Roman" w:cs="Times New Roman"/>
          <w:sz w:val="24"/>
          <w:szCs w:val="24"/>
        </w:rPr>
        <w:t xml:space="preserve">, </w:t>
      </w:r>
      <w:r w:rsidR="00F467E9" w:rsidRPr="00B57B6A">
        <w:rPr>
          <w:rFonts w:ascii="Times New Roman" w:hAnsi="Times New Roman" w:cs="Times New Roman"/>
          <w:sz w:val="24"/>
          <w:szCs w:val="24"/>
        </w:rPr>
        <w:t>Méndez</w:t>
      </w:r>
      <w:r w:rsidR="00CD51BD" w:rsidRPr="00B57B6A">
        <w:rPr>
          <w:rFonts w:ascii="Times New Roman" w:hAnsi="Times New Roman" w:cs="Times New Roman"/>
          <w:sz w:val="24"/>
          <w:szCs w:val="24"/>
        </w:rPr>
        <w:t xml:space="preserve"> notes the “heightened risk of violence, abuse and acts of torture, cruel, inhuman or degrading treatment or punishment”</w:t>
      </w:r>
      <w:r w:rsidR="000A55F7" w:rsidRPr="00B57B6A">
        <w:rPr>
          <w:rFonts w:ascii="Times New Roman" w:hAnsi="Times New Roman" w:cs="Times New Roman"/>
          <w:sz w:val="24"/>
          <w:szCs w:val="24"/>
        </w:rPr>
        <w:t xml:space="preserve"> for </w:t>
      </w:r>
      <w:r w:rsidR="00CD51BD" w:rsidRPr="00B57B6A">
        <w:rPr>
          <w:rFonts w:ascii="Times New Roman" w:hAnsi="Times New Roman" w:cs="Times New Roman"/>
          <w:sz w:val="24"/>
          <w:szCs w:val="24"/>
        </w:rPr>
        <w:t>children in institutions.</w:t>
      </w:r>
      <w:r w:rsidR="00CD51BD" w:rsidRPr="00B57B6A">
        <w:rPr>
          <w:rStyle w:val="FootnoteReference"/>
          <w:rFonts w:ascii="Times New Roman" w:hAnsi="Times New Roman" w:cs="Times New Roman"/>
          <w:sz w:val="24"/>
          <w:szCs w:val="24"/>
        </w:rPr>
        <w:footnoteReference w:id="56"/>
      </w:r>
      <w:r w:rsidR="0066171B" w:rsidRPr="00B57B6A">
        <w:rPr>
          <w:rFonts w:ascii="Times New Roman" w:hAnsi="Times New Roman" w:cs="Times New Roman"/>
          <w:sz w:val="24"/>
          <w:szCs w:val="24"/>
        </w:rPr>
        <w:t xml:space="preserve"> </w:t>
      </w:r>
      <w:r w:rsidR="00CD51BD" w:rsidRPr="00B57B6A">
        <w:rPr>
          <w:rFonts w:ascii="Times New Roman" w:hAnsi="Times New Roman" w:cs="Times New Roman"/>
          <w:sz w:val="24"/>
          <w:szCs w:val="24"/>
        </w:rPr>
        <w:t xml:space="preserve">It is important to understand </w:t>
      </w:r>
      <w:r w:rsidR="00FD44F9">
        <w:rPr>
          <w:rFonts w:ascii="Times New Roman" w:hAnsi="Times New Roman" w:cs="Times New Roman"/>
          <w:sz w:val="24"/>
          <w:szCs w:val="24"/>
        </w:rPr>
        <w:t xml:space="preserve">that </w:t>
      </w:r>
      <w:r w:rsidR="00CD51BD" w:rsidRPr="00B57B6A">
        <w:rPr>
          <w:rFonts w:ascii="Times New Roman" w:hAnsi="Times New Roman" w:cs="Times New Roman"/>
          <w:sz w:val="24"/>
          <w:szCs w:val="24"/>
        </w:rPr>
        <w:t>protections against torture for children in detention are not just needed for the old, run-down, under-staffed, or mismanaged facilities</w:t>
      </w:r>
      <w:r w:rsidR="00A04B31">
        <w:rPr>
          <w:rFonts w:ascii="Times New Roman" w:hAnsi="Times New Roman" w:cs="Times New Roman"/>
          <w:sz w:val="24"/>
          <w:szCs w:val="24"/>
        </w:rPr>
        <w:t>,</w:t>
      </w:r>
      <w:r w:rsidR="00CD51BD" w:rsidRPr="00B57B6A">
        <w:rPr>
          <w:rFonts w:ascii="Times New Roman" w:hAnsi="Times New Roman" w:cs="Times New Roman"/>
          <w:sz w:val="24"/>
          <w:szCs w:val="24"/>
        </w:rPr>
        <w:t xml:space="preserve"> as he r</w:t>
      </w:r>
      <w:r w:rsidR="00C600D4" w:rsidRPr="00B57B6A">
        <w:rPr>
          <w:rFonts w:ascii="Times New Roman" w:hAnsi="Times New Roman" w:cs="Times New Roman"/>
          <w:sz w:val="24"/>
          <w:szCs w:val="24"/>
        </w:rPr>
        <w:t xml:space="preserve">ecognizes that the dangers </w:t>
      </w:r>
      <w:r w:rsidR="00977DE4" w:rsidRPr="00B57B6A">
        <w:rPr>
          <w:rFonts w:ascii="Times New Roman" w:hAnsi="Times New Roman" w:cs="Times New Roman"/>
          <w:sz w:val="24"/>
          <w:szCs w:val="24"/>
        </w:rPr>
        <w:t xml:space="preserve">are inherent </w:t>
      </w:r>
      <w:r w:rsidR="002B16AC" w:rsidRPr="00B57B6A">
        <w:rPr>
          <w:rFonts w:ascii="Times New Roman" w:hAnsi="Times New Roman" w:cs="Times New Roman"/>
          <w:sz w:val="24"/>
          <w:szCs w:val="24"/>
        </w:rPr>
        <w:t>to institutionalization itself:</w:t>
      </w:r>
    </w:p>
    <w:p w14:paraId="77DCBD61" w14:textId="1CA85239" w:rsidR="002B16AC" w:rsidRPr="00B57B6A" w:rsidRDefault="00C600D4" w:rsidP="00B57B6A">
      <w:pPr>
        <w:spacing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 xml:space="preserve">A number of studies have shown that, </w:t>
      </w:r>
      <w:r w:rsidRPr="00B57B6A">
        <w:rPr>
          <w:rFonts w:ascii="Times New Roman" w:hAnsi="Times New Roman" w:cs="Times New Roman"/>
          <w:i/>
          <w:sz w:val="24"/>
          <w:szCs w:val="24"/>
        </w:rPr>
        <w:t>regardless of conditions</w:t>
      </w:r>
      <w:r w:rsidRPr="00B57B6A">
        <w:rPr>
          <w:rFonts w:ascii="Times New Roman" w:hAnsi="Times New Roman" w:cs="Times New Roman"/>
          <w:sz w:val="24"/>
          <w:szCs w:val="24"/>
        </w:rPr>
        <w:t xml:space="preserve"> in which children are held, detention has a profound and negative impact on child health and development. Even very short periods of detention can undermine the child’s psychological and physical well-being and compromise cognitive development.</w:t>
      </w:r>
      <w:r w:rsidRPr="00B57B6A">
        <w:rPr>
          <w:rStyle w:val="FootnoteReference"/>
          <w:rFonts w:ascii="Times New Roman" w:hAnsi="Times New Roman" w:cs="Times New Roman"/>
          <w:sz w:val="24"/>
          <w:szCs w:val="24"/>
        </w:rPr>
        <w:footnoteReference w:id="57"/>
      </w:r>
    </w:p>
    <w:p w14:paraId="1969D835" w14:textId="64F0EDB3" w:rsidR="00C600D4" w:rsidRPr="00B57B6A" w:rsidRDefault="00A12AB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impact </w:t>
      </w:r>
      <w:r w:rsidR="00C600D4" w:rsidRPr="00B57B6A">
        <w:rPr>
          <w:rFonts w:ascii="Times New Roman" w:hAnsi="Times New Roman" w:cs="Times New Roman"/>
          <w:sz w:val="24"/>
          <w:szCs w:val="24"/>
        </w:rPr>
        <w:t>of depriving children of their liberty</w:t>
      </w:r>
      <w:r w:rsidRPr="00B57B6A">
        <w:rPr>
          <w:rFonts w:ascii="Times New Roman" w:hAnsi="Times New Roman" w:cs="Times New Roman"/>
          <w:sz w:val="24"/>
          <w:szCs w:val="24"/>
        </w:rPr>
        <w:t xml:space="preserve"> may be invisible because of the psychological damage </w:t>
      </w:r>
      <w:r w:rsidR="00F5368C">
        <w:rPr>
          <w:rFonts w:ascii="Times New Roman" w:hAnsi="Times New Roman" w:cs="Times New Roman"/>
          <w:sz w:val="24"/>
          <w:szCs w:val="24"/>
        </w:rPr>
        <w:t>it</w:t>
      </w:r>
      <w:r w:rsidRPr="00B57B6A">
        <w:rPr>
          <w:rFonts w:ascii="Times New Roman" w:hAnsi="Times New Roman" w:cs="Times New Roman"/>
          <w:sz w:val="24"/>
          <w:szCs w:val="24"/>
        </w:rPr>
        <w:t xml:space="preserve"> </w:t>
      </w:r>
      <w:r w:rsidR="000A55F7" w:rsidRPr="00B57B6A">
        <w:rPr>
          <w:rFonts w:ascii="Times New Roman" w:hAnsi="Times New Roman" w:cs="Times New Roman"/>
          <w:sz w:val="24"/>
          <w:szCs w:val="24"/>
        </w:rPr>
        <w:t>cause</w:t>
      </w:r>
      <w:r w:rsidR="00F5368C">
        <w:rPr>
          <w:rFonts w:ascii="Times New Roman" w:hAnsi="Times New Roman" w:cs="Times New Roman"/>
          <w:sz w:val="24"/>
          <w:szCs w:val="24"/>
        </w:rPr>
        <w:t>s</w:t>
      </w:r>
      <w:r w:rsidR="000A55F7" w:rsidRPr="00B57B6A">
        <w:rPr>
          <w:rFonts w:ascii="Times New Roman" w:hAnsi="Times New Roman" w:cs="Times New Roman"/>
          <w:sz w:val="24"/>
          <w:szCs w:val="24"/>
        </w:rPr>
        <w:t xml:space="preserve">. </w:t>
      </w:r>
      <w:r w:rsidR="00F5368C">
        <w:rPr>
          <w:rFonts w:ascii="Times New Roman" w:hAnsi="Times New Roman" w:cs="Times New Roman"/>
          <w:sz w:val="24"/>
          <w:szCs w:val="24"/>
        </w:rPr>
        <w:t>Chief a</w:t>
      </w:r>
      <w:r w:rsidR="000A55F7" w:rsidRPr="00B57B6A">
        <w:rPr>
          <w:rFonts w:ascii="Times New Roman" w:hAnsi="Times New Roman" w:cs="Times New Roman"/>
          <w:sz w:val="24"/>
          <w:szCs w:val="24"/>
        </w:rPr>
        <w:t xml:space="preserve">mong </w:t>
      </w:r>
      <w:r w:rsidR="00F5368C">
        <w:rPr>
          <w:rFonts w:ascii="Times New Roman" w:hAnsi="Times New Roman" w:cs="Times New Roman"/>
          <w:sz w:val="24"/>
          <w:szCs w:val="24"/>
        </w:rPr>
        <w:t>such adverse psychological impact</w:t>
      </w:r>
      <w:r w:rsidR="000A55F7" w:rsidRPr="00B57B6A">
        <w:rPr>
          <w:rFonts w:ascii="Times New Roman" w:hAnsi="Times New Roman" w:cs="Times New Roman"/>
          <w:sz w:val="24"/>
          <w:szCs w:val="24"/>
        </w:rPr>
        <w:t xml:space="preserve">, </w:t>
      </w:r>
      <w:r w:rsidR="00F467E9" w:rsidRPr="00B57B6A">
        <w:rPr>
          <w:rFonts w:ascii="Times New Roman" w:hAnsi="Times New Roman" w:cs="Times New Roman"/>
          <w:sz w:val="24"/>
          <w:szCs w:val="24"/>
        </w:rPr>
        <w:t>Méndez</w:t>
      </w:r>
      <w:r w:rsidR="000A55F7" w:rsidRPr="00B57B6A">
        <w:rPr>
          <w:rFonts w:ascii="Times New Roman" w:hAnsi="Times New Roman" w:cs="Times New Roman"/>
          <w:sz w:val="24"/>
          <w:szCs w:val="24"/>
        </w:rPr>
        <w:t xml:space="preserve"> notes</w:t>
      </w:r>
      <w:r w:rsidRPr="00B57B6A">
        <w:rPr>
          <w:rFonts w:ascii="Times New Roman" w:hAnsi="Times New Roman" w:cs="Times New Roman"/>
          <w:sz w:val="24"/>
          <w:szCs w:val="24"/>
        </w:rPr>
        <w:t xml:space="preserve"> </w:t>
      </w:r>
      <w:r w:rsidR="00C600D4" w:rsidRPr="00B57B6A">
        <w:rPr>
          <w:rFonts w:ascii="Times New Roman" w:hAnsi="Times New Roman" w:cs="Times New Roman"/>
          <w:sz w:val="24"/>
          <w:szCs w:val="24"/>
        </w:rPr>
        <w:t>“higher rates of suicide and self-harm, mental disorder, and developmental problems.”</w:t>
      </w:r>
      <w:r w:rsidR="00C600D4" w:rsidRPr="00B57B6A">
        <w:rPr>
          <w:rStyle w:val="FootnoteReference"/>
          <w:rFonts w:ascii="Times New Roman" w:hAnsi="Times New Roman" w:cs="Times New Roman"/>
          <w:sz w:val="24"/>
          <w:szCs w:val="24"/>
        </w:rPr>
        <w:footnoteReference w:id="58"/>
      </w:r>
    </w:p>
    <w:p w14:paraId="111135FE" w14:textId="520007C4" w:rsidR="006C10C0" w:rsidRPr="00B57B6A" w:rsidRDefault="00F467E9"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Méndez</w:t>
      </w:r>
      <w:r w:rsidR="00C600D4" w:rsidRPr="00B57B6A">
        <w:rPr>
          <w:rFonts w:ascii="Times New Roman" w:hAnsi="Times New Roman" w:cs="Times New Roman"/>
          <w:sz w:val="24"/>
          <w:szCs w:val="24"/>
        </w:rPr>
        <w:t>’</w:t>
      </w:r>
      <w:r>
        <w:rPr>
          <w:rFonts w:ascii="Times New Roman" w:hAnsi="Times New Roman" w:cs="Times New Roman"/>
          <w:sz w:val="24"/>
          <w:szCs w:val="24"/>
        </w:rPr>
        <w:t>s</w:t>
      </w:r>
      <w:r w:rsidR="00C600D4" w:rsidRPr="00B57B6A">
        <w:rPr>
          <w:rFonts w:ascii="Times New Roman" w:hAnsi="Times New Roman" w:cs="Times New Roman"/>
          <w:sz w:val="24"/>
          <w:szCs w:val="24"/>
        </w:rPr>
        <w:t xml:space="preserve"> approa</w:t>
      </w:r>
      <w:r w:rsidR="00A12AB7" w:rsidRPr="00B57B6A">
        <w:rPr>
          <w:rFonts w:ascii="Times New Roman" w:hAnsi="Times New Roman" w:cs="Times New Roman"/>
          <w:sz w:val="24"/>
          <w:szCs w:val="24"/>
        </w:rPr>
        <w:t xml:space="preserve">ch is </w:t>
      </w:r>
      <w:r w:rsidR="00C600D4" w:rsidRPr="00B57B6A">
        <w:rPr>
          <w:rFonts w:ascii="Times New Roman" w:hAnsi="Times New Roman" w:cs="Times New Roman"/>
          <w:sz w:val="24"/>
          <w:szCs w:val="24"/>
        </w:rPr>
        <w:t xml:space="preserve">supported by the findings of extensive empirical research. </w:t>
      </w:r>
      <w:r w:rsidR="005D0C17" w:rsidRPr="00B57B6A">
        <w:rPr>
          <w:rFonts w:ascii="Times New Roman" w:hAnsi="Times New Roman" w:cs="Times New Roman"/>
          <w:sz w:val="24"/>
          <w:szCs w:val="24"/>
        </w:rPr>
        <w:t xml:space="preserve">Longitudinal studies of children raised in congregate care show that, especially in early years, institutionalization </w:t>
      </w:r>
      <w:r w:rsidR="00DD1206" w:rsidRPr="00B57B6A">
        <w:rPr>
          <w:rFonts w:ascii="Times New Roman" w:hAnsi="Times New Roman" w:cs="Times New Roman"/>
          <w:sz w:val="24"/>
          <w:szCs w:val="24"/>
        </w:rPr>
        <w:t>c</w:t>
      </w:r>
      <w:r w:rsidR="002D1553">
        <w:rPr>
          <w:rFonts w:ascii="Times New Roman" w:hAnsi="Times New Roman" w:cs="Times New Roman"/>
          <w:sz w:val="24"/>
          <w:szCs w:val="24"/>
        </w:rPr>
        <w:t>an</w:t>
      </w:r>
      <w:r w:rsidR="005D0C17" w:rsidRPr="00B57B6A">
        <w:rPr>
          <w:rFonts w:ascii="Times New Roman" w:hAnsi="Times New Roman" w:cs="Times New Roman"/>
          <w:sz w:val="24"/>
          <w:szCs w:val="24"/>
        </w:rPr>
        <w:t xml:space="preserve"> be psychologically damaging.</w:t>
      </w:r>
      <w:r w:rsidR="00CB30B5" w:rsidRPr="00B57B6A">
        <w:rPr>
          <w:rStyle w:val="FootnoteReference"/>
          <w:rFonts w:ascii="Times New Roman" w:hAnsi="Times New Roman" w:cs="Times New Roman"/>
          <w:sz w:val="24"/>
          <w:szCs w:val="24"/>
        </w:rPr>
        <w:footnoteReference w:id="59"/>
      </w:r>
      <w:r w:rsidR="0053530B" w:rsidRPr="00B57B6A">
        <w:rPr>
          <w:rFonts w:ascii="Times New Roman" w:hAnsi="Times New Roman" w:cs="Times New Roman"/>
          <w:sz w:val="24"/>
          <w:szCs w:val="24"/>
        </w:rPr>
        <w:t xml:space="preserve"> </w:t>
      </w:r>
      <w:r w:rsidR="005D0C17" w:rsidRPr="00B57B6A">
        <w:rPr>
          <w:rFonts w:ascii="Times New Roman" w:hAnsi="Times New Roman" w:cs="Times New Roman"/>
          <w:sz w:val="24"/>
          <w:szCs w:val="24"/>
        </w:rPr>
        <w:t>Basic human psychology is that children learn to form emotional attachment</w:t>
      </w:r>
      <w:r w:rsidR="00286FAB">
        <w:rPr>
          <w:rFonts w:ascii="Times New Roman" w:hAnsi="Times New Roman" w:cs="Times New Roman"/>
          <w:sz w:val="24"/>
          <w:szCs w:val="24"/>
        </w:rPr>
        <w:t>s</w:t>
      </w:r>
      <w:r w:rsidR="005D0C17" w:rsidRPr="00B57B6A">
        <w:rPr>
          <w:rFonts w:ascii="Times New Roman" w:hAnsi="Times New Roman" w:cs="Times New Roman"/>
          <w:sz w:val="24"/>
          <w:szCs w:val="24"/>
        </w:rPr>
        <w:t xml:space="preserve"> at an early age. Unless they have family members or consistent caregivers to </w:t>
      </w:r>
      <w:r w:rsidR="00DD1206" w:rsidRPr="00B57B6A">
        <w:rPr>
          <w:rFonts w:ascii="Times New Roman" w:hAnsi="Times New Roman" w:cs="Times New Roman"/>
          <w:sz w:val="24"/>
          <w:szCs w:val="24"/>
        </w:rPr>
        <w:t>whom</w:t>
      </w:r>
      <w:r w:rsidR="005D0C17" w:rsidRPr="00B57B6A">
        <w:rPr>
          <w:rFonts w:ascii="Times New Roman" w:hAnsi="Times New Roman" w:cs="Times New Roman"/>
          <w:sz w:val="24"/>
          <w:szCs w:val="24"/>
        </w:rPr>
        <w:t xml:space="preserve"> they can form emotional attachments</w:t>
      </w:r>
      <w:r w:rsidR="00110DC0">
        <w:rPr>
          <w:rFonts w:ascii="Times New Roman" w:hAnsi="Times New Roman" w:cs="Times New Roman"/>
          <w:sz w:val="24"/>
          <w:szCs w:val="24"/>
        </w:rPr>
        <w:t xml:space="preserve"> early on</w:t>
      </w:r>
      <w:r w:rsidR="005D0C17" w:rsidRPr="00B57B6A">
        <w:rPr>
          <w:rFonts w:ascii="Times New Roman" w:hAnsi="Times New Roman" w:cs="Times New Roman"/>
          <w:sz w:val="24"/>
          <w:szCs w:val="24"/>
        </w:rPr>
        <w:t>, they lose the ability to do so later in life.</w:t>
      </w:r>
      <w:r w:rsidR="0066171B" w:rsidRPr="00B57B6A">
        <w:rPr>
          <w:rFonts w:ascii="Times New Roman" w:hAnsi="Times New Roman" w:cs="Times New Roman"/>
          <w:sz w:val="24"/>
          <w:szCs w:val="24"/>
        </w:rPr>
        <w:t xml:space="preserve"> </w:t>
      </w:r>
    </w:p>
    <w:p w14:paraId="7E9157FF" w14:textId="791F2E44" w:rsidR="00D72DB2" w:rsidRPr="00B57B6A" w:rsidRDefault="00A64734" w:rsidP="00B57B6A">
      <w:pPr>
        <w:spacing w:line="240" w:lineRule="auto"/>
        <w:jc w:val="both"/>
        <w:rPr>
          <w:rFonts w:ascii="Times New Roman" w:hAnsi="Times New Roman" w:cs="Times New Roman"/>
          <w:b/>
          <w:sz w:val="24"/>
          <w:szCs w:val="24"/>
        </w:rPr>
      </w:pPr>
      <w:r w:rsidRPr="00B57B6A">
        <w:rPr>
          <w:rFonts w:ascii="Times New Roman" w:hAnsi="Times New Roman" w:cs="Times New Roman"/>
          <w:sz w:val="24"/>
          <w:szCs w:val="24"/>
        </w:rPr>
        <w:t>Research and experience</w:t>
      </w:r>
      <w:r w:rsidR="0084078A"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since the adoption of the CRC </w:t>
      </w:r>
      <w:r w:rsidR="0084078A" w:rsidRPr="00B57B6A">
        <w:rPr>
          <w:rFonts w:ascii="Times New Roman" w:hAnsi="Times New Roman" w:cs="Times New Roman"/>
          <w:sz w:val="24"/>
          <w:szCs w:val="24"/>
        </w:rPr>
        <w:t xml:space="preserve">have </w:t>
      </w:r>
      <w:r w:rsidRPr="00B57B6A">
        <w:rPr>
          <w:rFonts w:ascii="Times New Roman" w:hAnsi="Times New Roman" w:cs="Times New Roman"/>
          <w:sz w:val="24"/>
          <w:szCs w:val="24"/>
        </w:rPr>
        <w:t xml:space="preserve">greatly strengthened what has been known for decades: </w:t>
      </w:r>
      <w:r w:rsidR="00D72DB2" w:rsidRPr="00B57B6A">
        <w:rPr>
          <w:rFonts w:ascii="Times New Roman" w:hAnsi="Times New Roman" w:cs="Times New Roman"/>
          <w:sz w:val="24"/>
          <w:szCs w:val="24"/>
        </w:rPr>
        <w:t>that all children, especially at younger ages, need to grow up with a family.</w:t>
      </w:r>
      <w:r w:rsidR="0084078A" w:rsidRPr="00B57B6A">
        <w:rPr>
          <w:rStyle w:val="FootnoteReference"/>
          <w:rFonts w:ascii="Times New Roman" w:hAnsi="Times New Roman" w:cs="Times New Roman"/>
          <w:sz w:val="24"/>
          <w:szCs w:val="24"/>
        </w:rPr>
        <w:footnoteReference w:id="60"/>
      </w:r>
      <w:r w:rsidR="00D72DB2" w:rsidRPr="00B57B6A">
        <w:rPr>
          <w:rFonts w:ascii="Times New Roman" w:hAnsi="Times New Roman" w:cs="Times New Roman"/>
          <w:sz w:val="24"/>
          <w:szCs w:val="24"/>
        </w:rPr>
        <w:t xml:space="preserve"> </w:t>
      </w:r>
      <w:r w:rsidR="00D72DB2" w:rsidRPr="00B57B6A">
        <w:rPr>
          <w:rFonts w:ascii="Times New Roman" w:hAnsi="Times New Roman" w:cs="Times New Roman"/>
          <w:sz w:val="24"/>
          <w:szCs w:val="24"/>
        </w:rPr>
        <w:lastRenderedPageBreak/>
        <w:t>Researchers have called into question the difference between large and small institutions, noting that even placement in small residential facilities can cause emotional and developmental dangers.</w:t>
      </w:r>
      <w:bookmarkStart w:id="33" w:name="_Ref464124738"/>
      <w:r w:rsidR="00D72DB2" w:rsidRPr="00B57B6A">
        <w:rPr>
          <w:rStyle w:val="FootnoteReference"/>
          <w:rFonts w:ascii="Times New Roman" w:hAnsi="Times New Roman" w:cs="Times New Roman"/>
          <w:sz w:val="24"/>
          <w:szCs w:val="24"/>
        </w:rPr>
        <w:footnoteReference w:id="61"/>
      </w:r>
      <w:bookmarkEnd w:id="33"/>
      <w:r w:rsidR="0066171B" w:rsidRPr="00B57B6A">
        <w:rPr>
          <w:rFonts w:ascii="Times New Roman" w:hAnsi="Times New Roman" w:cs="Times New Roman"/>
          <w:sz w:val="24"/>
          <w:szCs w:val="24"/>
        </w:rPr>
        <w:t xml:space="preserve"> </w:t>
      </w:r>
      <w:r w:rsidR="00920BE8" w:rsidRPr="00B57B6A">
        <w:rPr>
          <w:rFonts w:ascii="Times New Roman" w:hAnsi="Times New Roman" w:cs="Times New Roman"/>
          <w:sz w:val="24"/>
          <w:szCs w:val="24"/>
        </w:rPr>
        <w:t xml:space="preserve">While group homes were once considered the most appropriate alternative to institutional placement, new models of care for children emphasize the </w:t>
      </w:r>
      <w:r w:rsidR="00E7230E" w:rsidRPr="00B57B6A">
        <w:rPr>
          <w:rFonts w:ascii="Times New Roman" w:hAnsi="Times New Roman" w:cs="Times New Roman"/>
          <w:sz w:val="24"/>
          <w:szCs w:val="24"/>
        </w:rPr>
        <w:t>importance of family placement.</w:t>
      </w:r>
      <w:r w:rsidR="00E7230E" w:rsidRPr="00B57B6A">
        <w:rPr>
          <w:rStyle w:val="FootnoteReference"/>
          <w:rFonts w:ascii="Times New Roman" w:hAnsi="Times New Roman" w:cs="Times New Roman"/>
          <w:sz w:val="24"/>
          <w:szCs w:val="24"/>
        </w:rPr>
        <w:footnoteReference w:id="62"/>
      </w:r>
      <w:r w:rsidR="00E7230E" w:rsidRPr="00B57B6A">
        <w:rPr>
          <w:rFonts w:ascii="Times New Roman" w:hAnsi="Times New Roman" w:cs="Times New Roman"/>
          <w:sz w:val="24"/>
          <w:szCs w:val="24"/>
        </w:rPr>
        <w:t xml:space="preserve"> </w:t>
      </w:r>
    </w:p>
    <w:p w14:paraId="757CAAB4" w14:textId="02F7BBDC" w:rsidR="00920BE8" w:rsidRPr="00B57B6A" w:rsidRDefault="00CD51BD"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While much attention is foc</w:t>
      </w:r>
      <w:r w:rsidR="00620A14" w:rsidRPr="00B57B6A">
        <w:rPr>
          <w:rFonts w:ascii="Times New Roman" w:hAnsi="Times New Roman" w:cs="Times New Roman"/>
          <w:sz w:val="24"/>
          <w:szCs w:val="24"/>
        </w:rPr>
        <w:t xml:space="preserve">used on the risk of attachment disorder in the </w:t>
      </w:r>
      <w:r w:rsidR="00C2572D">
        <w:rPr>
          <w:rFonts w:ascii="Times New Roman" w:hAnsi="Times New Roman" w:cs="Times New Roman"/>
          <w:sz w:val="24"/>
          <w:szCs w:val="24"/>
        </w:rPr>
        <w:t>newborn</w:t>
      </w:r>
      <w:r w:rsidR="00285255">
        <w:rPr>
          <w:rFonts w:ascii="Times New Roman" w:hAnsi="Times New Roman" w:cs="Times New Roman"/>
          <w:sz w:val="24"/>
          <w:szCs w:val="24"/>
        </w:rPr>
        <w:t xml:space="preserve"> to </w:t>
      </w:r>
      <w:r w:rsidR="0016229F">
        <w:rPr>
          <w:rFonts w:ascii="Times New Roman" w:hAnsi="Times New Roman" w:cs="Times New Roman"/>
          <w:sz w:val="24"/>
          <w:szCs w:val="24"/>
        </w:rPr>
        <w:t>three</w:t>
      </w:r>
      <w:r w:rsidR="00620A14" w:rsidRPr="00B57B6A">
        <w:rPr>
          <w:rFonts w:ascii="Times New Roman" w:hAnsi="Times New Roman" w:cs="Times New Roman"/>
          <w:sz w:val="24"/>
          <w:szCs w:val="24"/>
        </w:rPr>
        <w:t xml:space="preserve"> age-range, </w:t>
      </w:r>
      <w:r w:rsidR="0014222E" w:rsidRPr="00B57B6A">
        <w:rPr>
          <w:rFonts w:ascii="Times New Roman" w:hAnsi="Times New Roman" w:cs="Times New Roman"/>
          <w:sz w:val="24"/>
          <w:szCs w:val="24"/>
        </w:rPr>
        <w:t xml:space="preserve">new research is increasingly showing that attachment disorder and other </w:t>
      </w:r>
      <w:r w:rsidRPr="00B57B6A">
        <w:rPr>
          <w:rFonts w:ascii="Times New Roman" w:hAnsi="Times New Roman" w:cs="Times New Roman"/>
          <w:sz w:val="24"/>
          <w:szCs w:val="24"/>
        </w:rPr>
        <w:t xml:space="preserve">psychological </w:t>
      </w:r>
      <w:r w:rsidR="00A12AB7" w:rsidRPr="00B57B6A">
        <w:rPr>
          <w:rFonts w:ascii="Times New Roman" w:hAnsi="Times New Roman" w:cs="Times New Roman"/>
          <w:sz w:val="24"/>
          <w:szCs w:val="24"/>
        </w:rPr>
        <w:t>dangers of ins</w:t>
      </w:r>
      <w:r w:rsidR="0014222E" w:rsidRPr="00B57B6A">
        <w:rPr>
          <w:rFonts w:ascii="Times New Roman" w:hAnsi="Times New Roman" w:cs="Times New Roman"/>
          <w:sz w:val="24"/>
          <w:szCs w:val="24"/>
        </w:rPr>
        <w:t>titutions also impact children in middle childhood and adolescen</w:t>
      </w:r>
      <w:r w:rsidR="00163DA9">
        <w:rPr>
          <w:rFonts w:ascii="Times New Roman" w:hAnsi="Times New Roman" w:cs="Times New Roman"/>
          <w:sz w:val="24"/>
          <w:szCs w:val="24"/>
        </w:rPr>
        <w:t>ts</w:t>
      </w:r>
      <w:r w:rsidRPr="00B57B6A">
        <w:rPr>
          <w:rFonts w:ascii="Times New Roman" w:hAnsi="Times New Roman" w:cs="Times New Roman"/>
          <w:sz w:val="24"/>
          <w:szCs w:val="24"/>
        </w:rPr>
        <w:t>.</w:t>
      </w:r>
      <w:r w:rsidR="0014222E" w:rsidRPr="00B57B6A">
        <w:rPr>
          <w:rStyle w:val="FootnoteReference"/>
          <w:rFonts w:ascii="Times New Roman" w:hAnsi="Times New Roman" w:cs="Times New Roman"/>
          <w:sz w:val="24"/>
          <w:szCs w:val="24"/>
        </w:rPr>
        <w:footnoteReference w:id="63"/>
      </w:r>
      <w:r w:rsidRPr="00B57B6A">
        <w:rPr>
          <w:rFonts w:ascii="Times New Roman" w:hAnsi="Times New Roman" w:cs="Times New Roman"/>
          <w:sz w:val="24"/>
          <w:szCs w:val="24"/>
        </w:rPr>
        <w:t xml:space="preserve"> Research shows </w:t>
      </w:r>
      <w:r w:rsidR="005D0C17" w:rsidRPr="00B57B6A">
        <w:rPr>
          <w:rFonts w:ascii="Times New Roman" w:hAnsi="Times New Roman" w:cs="Times New Roman"/>
          <w:sz w:val="24"/>
          <w:szCs w:val="24"/>
        </w:rPr>
        <w:t>cognitive deficiencies and developmental delays</w:t>
      </w:r>
      <w:r w:rsidRPr="00B57B6A">
        <w:rPr>
          <w:rFonts w:ascii="Times New Roman" w:hAnsi="Times New Roman" w:cs="Times New Roman"/>
          <w:sz w:val="24"/>
          <w:szCs w:val="24"/>
        </w:rPr>
        <w:t xml:space="preserve"> that can be linked to longer stays in institutions</w:t>
      </w:r>
      <w:r w:rsidR="005D0C17" w:rsidRPr="00B57B6A">
        <w:rPr>
          <w:rFonts w:ascii="Times New Roman" w:hAnsi="Times New Roman" w:cs="Times New Roman"/>
          <w:sz w:val="24"/>
          <w:szCs w:val="24"/>
        </w:rPr>
        <w:t>.</w:t>
      </w:r>
      <w:bookmarkStart w:id="34" w:name="_Ref471736646"/>
      <w:r w:rsidR="00CB30B5" w:rsidRPr="00B57B6A">
        <w:rPr>
          <w:rStyle w:val="FootnoteReference"/>
          <w:rFonts w:ascii="Times New Roman" w:hAnsi="Times New Roman" w:cs="Times New Roman"/>
          <w:sz w:val="24"/>
          <w:szCs w:val="24"/>
        </w:rPr>
        <w:footnoteReference w:id="64"/>
      </w:r>
      <w:bookmarkEnd w:id="34"/>
      <w:r w:rsidR="005D0C17" w:rsidRPr="00B57B6A">
        <w:rPr>
          <w:rFonts w:ascii="Times New Roman" w:hAnsi="Times New Roman" w:cs="Times New Roman"/>
          <w:sz w:val="24"/>
          <w:szCs w:val="24"/>
        </w:rPr>
        <w:t xml:space="preserve"> </w:t>
      </w:r>
      <w:r w:rsidR="0014222E" w:rsidRPr="00B57B6A">
        <w:rPr>
          <w:rFonts w:ascii="Times New Roman" w:hAnsi="Times New Roman" w:cs="Times New Roman"/>
          <w:sz w:val="24"/>
          <w:szCs w:val="24"/>
        </w:rPr>
        <w:t>The absence of parental figures results in over-reliance on peers as children grow into adolescence, resulting in unhealthy and abusive future relationships.</w:t>
      </w:r>
      <w:bookmarkStart w:id="35" w:name="_Ref336380935"/>
      <w:r w:rsidR="0014222E" w:rsidRPr="00B57B6A">
        <w:rPr>
          <w:rStyle w:val="FootnoteReference"/>
          <w:rFonts w:ascii="Times New Roman" w:hAnsi="Times New Roman" w:cs="Times New Roman"/>
          <w:sz w:val="24"/>
          <w:szCs w:val="24"/>
        </w:rPr>
        <w:footnoteReference w:id="65"/>
      </w:r>
      <w:bookmarkEnd w:id="35"/>
      <w:r w:rsidR="00A84AFA" w:rsidRPr="00B57B6A">
        <w:rPr>
          <w:rFonts w:ascii="Times New Roman" w:hAnsi="Times New Roman" w:cs="Times New Roman"/>
          <w:sz w:val="24"/>
          <w:szCs w:val="24"/>
        </w:rPr>
        <w:t xml:space="preserve"> </w:t>
      </w:r>
      <w:r w:rsidR="006C10C0" w:rsidRPr="00B57B6A">
        <w:rPr>
          <w:rFonts w:ascii="Times New Roman" w:hAnsi="Times New Roman" w:cs="Times New Roman"/>
          <w:sz w:val="24"/>
          <w:szCs w:val="24"/>
        </w:rPr>
        <w:t>The invisible psychological t</w:t>
      </w:r>
      <w:r w:rsidR="00457AAB">
        <w:rPr>
          <w:rFonts w:ascii="Times New Roman" w:hAnsi="Times New Roman" w:cs="Times New Roman"/>
          <w:sz w:val="24"/>
          <w:szCs w:val="24"/>
        </w:rPr>
        <w:t>oll</w:t>
      </w:r>
      <w:r w:rsidR="006C10C0" w:rsidRPr="00B57B6A">
        <w:rPr>
          <w:rFonts w:ascii="Times New Roman" w:hAnsi="Times New Roman" w:cs="Times New Roman"/>
          <w:sz w:val="24"/>
          <w:szCs w:val="24"/>
        </w:rPr>
        <w:t xml:space="preserve"> on children who grow up in orp</w:t>
      </w:r>
      <w:r w:rsidRPr="00B57B6A">
        <w:rPr>
          <w:rFonts w:ascii="Times New Roman" w:hAnsi="Times New Roman" w:cs="Times New Roman"/>
          <w:sz w:val="24"/>
          <w:szCs w:val="24"/>
        </w:rPr>
        <w:t xml:space="preserve">hanages can be seen in the </w:t>
      </w:r>
      <w:r w:rsidR="006C10C0" w:rsidRPr="00B57B6A">
        <w:rPr>
          <w:rFonts w:ascii="Times New Roman" w:hAnsi="Times New Roman" w:cs="Times New Roman"/>
          <w:sz w:val="24"/>
          <w:szCs w:val="24"/>
        </w:rPr>
        <w:t>high levels of suicide among children and young adults who “graduate” from these facilities.</w:t>
      </w:r>
      <w:r w:rsidR="0066171B" w:rsidRPr="00B57B6A">
        <w:rPr>
          <w:rFonts w:ascii="Times New Roman" w:hAnsi="Times New Roman" w:cs="Times New Roman"/>
          <w:sz w:val="24"/>
          <w:szCs w:val="24"/>
        </w:rPr>
        <w:t xml:space="preserve"> </w:t>
      </w:r>
      <w:r w:rsidR="006C10C0" w:rsidRPr="00B57B6A">
        <w:rPr>
          <w:rFonts w:ascii="Times New Roman" w:hAnsi="Times New Roman" w:cs="Times New Roman"/>
          <w:sz w:val="24"/>
          <w:szCs w:val="24"/>
        </w:rPr>
        <w:t>These are among the dangers children face when they are released into society without the support network that they would have from growing up with a family.</w:t>
      </w:r>
      <w:r w:rsidR="0066171B" w:rsidRPr="00B57B6A">
        <w:rPr>
          <w:rFonts w:ascii="Times New Roman" w:hAnsi="Times New Roman" w:cs="Times New Roman"/>
          <w:sz w:val="24"/>
          <w:szCs w:val="24"/>
        </w:rPr>
        <w:t xml:space="preserve"> </w:t>
      </w:r>
      <w:r w:rsidR="00584149" w:rsidRPr="00B57B6A">
        <w:rPr>
          <w:rFonts w:ascii="Times New Roman" w:hAnsi="Times New Roman" w:cs="Times New Roman"/>
          <w:sz w:val="24"/>
          <w:szCs w:val="24"/>
        </w:rPr>
        <w:t xml:space="preserve"> </w:t>
      </w:r>
    </w:p>
    <w:p w14:paraId="48C683C8" w14:textId="74EE8BB5" w:rsidR="00D72DB2" w:rsidRPr="00B57B6A" w:rsidRDefault="00584149"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European Office of the UN High Commissioner on Human Rights drew from research in Russia showing that “one in three children who leave residential care becomes homeless; one in five ends up with a criminal record; and in some cases as many as one in ten commits suicide.”</w:t>
      </w:r>
      <w:bookmarkStart w:id="36" w:name="_Ref334698833"/>
      <w:r w:rsidRPr="00B57B6A">
        <w:rPr>
          <w:rStyle w:val="FootnoteReference"/>
          <w:rFonts w:ascii="Times New Roman" w:hAnsi="Times New Roman" w:cs="Times New Roman"/>
          <w:sz w:val="24"/>
          <w:szCs w:val="24"/>
        </w:rPr>
        <w:footnoteReference w:id="66"/>
      </w:r>
      <w:bookmarkEnd w:id="36"/>
      <w:r w:rsidRPr="00B57B6A">
        <w:rPr>
          <w:rFonts w:ascii="Times New Roman" w:hAnsi="Times New Roman" w:cs="Times New Roman"/>
          <w:sz w:val="24"/>
          <w:szCs w:val="24"/>
        </w:rPr>
        <w:t xml:space="preserve"> Another study found that girls who gro</w:t>
      </w:r>
      <w:r w:rsidR="00276D9B" w:rsidRPr="00B57B6A">
        <w:rPr>
          <w:rFonts w:ascii="Times New Roman" w:hAnsi="Times New Roman" w:cs="Times New Roman"/>
          <w:sz w:val="24"/>
          <w:szCs w:val="24"/>
        </w:rPr>
        <w:t xml:space="preserve">w </w:t>
      </w:r>
      <w:r w:rsidRPr="00B57B6A">
        <w:rPr>
          <w:rFonts w:ascii="Times New Roman" w:hAnsi="Times New Roman" w:cs="Times New Roman"/>
          <w:sz w:val="24"/>
          <w:szCs w:val="24"/>
        </w:rPr>
        <w:t>up in institutions are ten times more likely than girls who grow up with a family to be</w:t>
      </w:r>
      <w:r w:rsidR="006A5AAA">
        <w:rPr>
          <w:rFonts w:ascii="Times New Roman" w:hAnsi="Times New Roman" w:cs="Times New Roman"/>
          <w:sz w:val="24"/>
          <w:szCs w:val="24"/>
        </w:rPr>
        <w:t xml:space="preserve"> </w:t>
      </w:r>
      <w:r w:rsidRPr="00B57B6A">
        <w:rPr>
          <w:rFonts w:ascii="Times New Roman" w:hAnsi="Times New Roman" w:cs="Times New Roman"/>
          <w:sz w:val="24"/>
          <w:szCs w:val="24"/>
        </w:rPr>
        <w:t>victim</w:t>
      </w:r>
      <w:r w:rsidR="006A5AAA">
        <w:rPr>
          <w:rFonts w:ascii="Times New Roman" w:hAnsi="Times New Roman" w:cs="Times New Roman"/>
          <w:sz w:val="24"/>
          <w:szCs w:val="24"/>
        </w:rPr>
        <w:t>s</w:t>
      </w:r>
      <w:r w:rsidRPr="00B57B6A">
        <w:rPr>
          <w:rFonts w:ascii="Times New Roman" w:hAnsi="Times New Roman" w:cs="Times New Roman"/>
          <w:sz w:val="24"/>
          <w:szCs w:val="24"/>
        </w:rPr>
        <w:t xml:space="preserve"> of sexual exploitation and trafficking.</w:t>
      </w:r>
      <w:r w:rsidRPr="00B57B6A">
        <w:rPr>
          <w:rStyle w:val="FootnoteReference"/>
          <w:rFonts w:ascii="Times New Roman" w:hAnsi="Times New Roman" w:cs="Times New Roman"/>
          <w:sz w:val="24"/>
          <w:szCs w:val="24"/>
        </w:rPr>
        <w:footnoteReference w:id="67"/>
      </w:r>
      <w:r w:rsidR="0053530B" w:rsidRPr="00B57B6A">
        <w:rPr>
          <w:rFonts w:ascii="Times New Roman" w:hAnsi="Times New Roman" w:cs="Times New Roman"/>
          <w:sz w:val="24"/>
          <w:szCs w:val="24"/>
        </w:rPr>
        <w:t xml:space="preserve"> </w:t>
      </w:r>
      <w:r w:rsidRPr="00B57B6A">
        <w:rPr>
          <w:rFonts w:ascii="Times New Roman" w:hAnsi="Times New Roman" w:cs="Times New Roman"/>
          <w:sz w:val="24"/>
          <w:szCs w:val="24"/>
        </w:rPr>
        <w:t>DRI has documented the trafficking of girls for sex and forced labor within and from orphanages in Mexico, Guatemala, and Ukraine.</w:t>
      </w:r>
      <w:r w:rsidR="00CD51BD" w:rsidRPr="00B57B6A">
        <w:rPr>
          <w:rStyle w:val="FootnoteReference"/>
          <w:rFonts w:ascii="Times New Roman" w:hAnsi="Times New Roman" w:cs="Times New Roman"/>
          <w:sz w:val="24"/>
          <w:szCs w:val="24"/>
        </w:rPr>
        <w:footnoteReference w:id="68"/>
      </w:r>
      <w:r w:rsidRPr="00B57B6A">
        <w:rPr>
          <w:rFonts w:ascii="Times New Roman" w:hAnsi="Times New Roman" w:cs="Times New Roman"/>
          <w:sz w:val="24"/>
          <w:szCs w:val="24"/>
        </w:rPr>
        <w:t xml:space="preserve"> DRI has also found that women and girls are widely sterilized – at times explicitly as a way for institutions to cover up sexual abuse within institutions.</w:t>
      </w:r>
      <w:r w:rsidRPr="00B57B6A">
        <w:rPr>
          <w:rStyle w:val="FootnoteReference"/>
          <w:rFonts w:ascii="Times New Roman" w:hAnsi="Times New Roman" w:cs="Times New Roman"/>
          <w:sz w:val="24"/>
          <w:szCs w:val="24"/>
        </w:rPr>
        <w:footnoteReference w:id="69"/>
      </w:r>
    </w:p>
    <w:p w14:paraId="414B77F1" w14:textId="3F496F77" w:rsidR="00A84AFA" w:rsidRPr="00B57B6A" w:rsidRDefault="00A84AFA"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lastRenderedPageBreak/>
        <w:t>The most stri</w:t>
      </w:r>
      <w:r w:rsidR="00A12AB7" w:rsidRPr="00B57B6A">
        <w:rPr>
          <w:rFonts w:ascii="Times New Roman" w:hAnsi="Times New Roman" w:cs="Times New Roman"/>
          <w:sz w:val="24"/>
          <w:szCs w:val="24"/>
        </w:rPr>
        <w:t>king finding from studies of children raised in congregate care</w:t>
      </w:r>
      <w:r w:rsidRPr="00B57B6A">
        <w:rPr>
          <w:rFonts w:ascii="Times New Roman" w:hAnsi="Times New Roman" w:cs="Times New Roman"/>
          <w:sz w:val="24"/>
          <w:szCs w:val="24"/>
        </w:rPr>
        <w:t xml:space="preserve"> is that</w:t>
      </w:r>
      <w:r w:rsidR="0053530B" w:rsidRPr="00B57B6A">
        <w:rPr>
          <w:rFonts w:ascii="Times New Roman" w:hAnsi="Times New Roman" w:cs="Times New Roman"/>
          <w:sz w:val="24"/>
          <w:szCs w:val="24"/>
        </w:rPr>
        <w:t>, even</w:t>
      </w:r>
      <w:r w:rsidRPr="00B57B6A">
        <w:rPr>
          <w:rFonts w:ascii="Times New Roman" w:hAnsi="Times New Roman" w:cs="Times New Roman"/>
          <w:sz w:val="24"/>
          <w:szCs w:val="24"/>
        </w:rPr>
        <w:t xml:space="preserve"> when the worst institutions are compared to the cleanest and most well-staffed facilities, these dangers persist.</w:t>
      </w:r>
      <w:bookmarkStart w:id="37" w:name="_Ref334362310"/>
      <w:r w:rsidRPr="00B57B6A">
        <w:rPr>
          <w:rStyle w:val="FootnoteReference"/>
          <w:rFonts w:ascii="Times New Roman" w:hAnsi="Times New Roman" w:cs="Times New Roman"/>
          <w:sz w:val="24"/>
          <w:szCs w:val="24"/>
        </w:rPr>
        <w:footnoteReference w:id="70"/>
      </w:r>
      <w:bookmarkEnd w:id="37"/>
      <w:r w:rsidR="00C600D4" w:rsidRPr="00B57B6A">
        <w:rPr>
          <w:rFonts w:ascii="Times New Roman" w:hAnsi="Times New Roman" w:cs="Times New Roman"/>
          <w:sz w:val="24"/>
          <w:szCs w:val="24"/>
        </w:rPr>
        <w:t xml:space="preserve"> Summarizing the</w:t>
      </w:r>
      <w:r w:rsidRPr="00B57B6A">
        <w:rPr>
          <w:rFonts w:ascii="Times New Roman" w:hAnsi="Times New Roman" w:cs="Times New Roman"/>
          <w:sz w:val="24"/>
          <w:szCs w:val="24"/>
        </w:rPr>
        <w:t xml:space="preserve"> research, Dr. Danius Puras, who has since become the United Nations Special Rapporteur on the Right to Health, found that:</w:t>
      </w:r>
    </w:p>
    <w:p w14:paraId="020D4D24" w14:textId="03BEDB72" w:rsidR="00A84AFA" w:rsidRPr="00B57B6A" w:rsidRDefault="00A84AFA" w:rsidP="00B57B6A">
      <w:pPr>
        <w:spacing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…the improvement of conditions and hygi</w:t>
      </w:r>
      <w:r w:rsidR="00C600D4" w:rsidRPr="00B57B6A">
        <w:rPr>
          <w:rFonts w:ascii="Times New Roman" w:hAnsi="Times New Roman" w:cs="Times New Roman"/>
          <w:sz w:val="24"/>
          <w:szCs w:val="24"/>
        </w:rPr>
        <w:t>e</w:t>
      </w:r>
      <w:r w:rsidRPr="00B57B6A">
        <w:rPr>
          <w:rFonts w:ascii="Times New Roman" w:hAnsi="Times New Roman" w:cs="Times New Roman"/>
          <w:sz w:val="24"/>
          <w:szCs w:val="24"/>
        </w:rPr>
        <w:t xml:space="preserve">ne does not solve the basic problem of the harmful effects of institutional care, especially in the cases of children below three or even children younger than five </w:t>
      </w:r>
      <w:r w:rsidRPr="00354936">
        <w:rPr>
          <w:rFonts w:ascii="Times New Roman" w:hAnsi="Times New Roman" w:cs="Times New Roman"/>
          <w:sz w:val="24"/>
          <w:szCs w:val="24"/>
        </w:rPr>
        <w:t xml:space="preserve">to </w:t>
      </w:r>
      <w:r w:rsidRPr="005E7CF1">
        <w:rPr>
          <w:rFonts w:ascii="Times New Roman" w:hAnsi="Times New Roman" w:cs="Times New Roman"/>
          <w:sz w:val="24"/>
          <w:szCs w:val="24"/>
        </w:rPr>
        <w:t xml:space="preserve">eight years. While some factors can be significantly improved (e.g. feeding practice and physical conditions which appear to have reduced mortality rates in Bulgarian “orphanages”), other </w:t>
      </w:r>
      <w:r w:rsidRPr="002E00E4">
        <w:rPr>
          <w:rFonts w:ascii="Times New Roman" w:hAnsi="Times New Roman" w:cs="Times New Roman"/>
          <w:i/>
          <w:sz w:val="24"/>
          <w:szCs w:val="24"/>
        </w:rPr>
        <w:t xml:space="preserve">key factors are intrinsic to </w:t>
      </w:r>
      <w:r w:rsidRPr="00354936">
        <w:rPr>
          <w:rFonts w:ascii="Times New Roman" w:hAnsi="Times New Roman" w:cs="Times New Roman"/>
          <w:i/>
          <w:sz w:val="24"/>
          <w:szCs w:val="24"/>
        </w:rPr>
        <w:t>institutional care</w:t>
      </w:r>
      <w:r w:rsidRPr="00354936">
        <w:rPr>
          <w:rFonts w:ascii="Times New Roman" w:hAnsi="Times New Roman" w:cs="Times New Roman"/>
          <w:sz w:val="24"/>
          <w:szCs w:val="24"/>
        </w:rPr>
        <w:t>, not only to “bad” o</w:t>
      </w:r>
      <w:r w:rsidR="00E57245" w:rsidRPr="00354936">
        <w:rPr>
          <w:rFonts w:ascii="Times New Roman" w:hAnsi="Times New Roman" w:cs="Times New Roman"/>
          <w:sz w:val="24"/>
          <w:szCs w:val="24"/>
        </w:rPr>
        <w:t>r poorly equipped institutions.</w:t>
      </w:r>
      <w:r w:rsidRPr="00354936">
        <w:rPr>
          <w:rFonts w:ascii="Times New Roman" w:hAnsi="Times New Roman" w:cs="Times New Roman"/>
          <w:sz w:val="24"/>
          <w:szCs w:val="24"/>
        </w:rPr>
        <w:t xml:space="preserve"> It is not just a question of adequate nutrition and healing, or the absence of open violence and physical neglect.</w:t>
      </w:r>
      <w:r w:rsidRPr="00354936">
        <w:rPr>
          <w:rStyle w:val="FootnoteReference"/>
          <w:rFonts w:ascii="Times New Roman" w:hAnsi="Times New Roman" w:cs="Times New Roman"/>
          <w:sz w:val="24"/>
          <w:szCs w:val="24"/>
        </w:rPr>
        <w:footnoteReference w:id="71"/>
      </w:r>
    </w:p>
    <w:p w14:paraId="4B7A2AE7" w14:textId="51DBA8CA" w:rsidR="004B40D7" w:rsidRPr="00B57B6A" w:rsidRDefault="0049619B"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importance of </w:t>
      </w:r>
      <w:r w:rsidR="00B668ED">
        <w:rPr>
          <w:rFonts w:ascii="Times New Roman" w:hAnsi="Times New Roman" w:cs="Times New Roman"/>
          <w:sz w:val="24"/>
          <w:szCs w:val="24"/>
        </w:rPr>
        <w:t>families</w:t>
      </w:r>
      <w:r w:rsidRPr="00B57B6A">
        <w:rPr>
          <w:rFonts w:ascii="Times New Roman" w:hAnsi="Times New Roman" w:cs="Times New Roman"/>
          <w:sz w:val="24"/>
          <w:szCs w:val="24"/>
        </w:rPr>
        <w:t xml:space="preserve"> </w:t>
      </w:r>
      <w:r w:rsidR="00EC6E4C">
        <w:rPr>
          <w:rFonts w:ascii="Times New Roman" w:hAnsi="Times New Roman" w:cs="Times New Roman"/>
          <w:sz w:val="24"/>
          <w:szCs w:val="24"/>
        </w:rPr>
        <w:t>and emotional</w:t>
      </w:r>
      <w:r w:rsidR="00B668ED">
        <w:rPr>
          <w:rFonts w:ascii="Times New Roman" w:hAnsi="Times New Roman" w:cs="Times New Roman"/>
          <w:sz w:val="24"/>
          <w:szCs w:val="24"/>
        </w:rPr>
        <w:t xml:space="preserve"> bonding are </w:t>
      </w:r>
      <w:r w:rsidRPr="00B57B6A">
        <w:rPr>
          <w:rFonts w:ascii="Times New Roman" w:hAnsi="Times New Roman" w:cs="Times New Roman"/>
          <w:sz w:val="24"/>
          <w:szCs w:val="24"/>
        </w:rPr>
        <w:t>so essential</w:t>
      </w:r>
      <w:r w:rsidR="00A84AFA" w:rsidRPr="00B57B6A">
        <w:rPr>
          <w:rFonts w:ascii="Times New Roman" w:hAnsi="Times New Roman" w:cs="Times New Roman"/>
          <w:sz w:val="24"/>
          <w:szCs w:val="24"/>
        </w:rPr>
        <w:t xml:space="preserve">, </w:t>
      </w:r>
      <w:r w:rsidR="00A12AB7" w:rsidRPr="00B57B6A">
        <w:rPr>
          <w:rFonts w:ascii="Times New Roman" w:hAnsi="Times New Roman" w:cs="Times New Roman"/>
          <w:sz w:val="24"/>
          <w:szCs w:val="24"/>
        </w:rPr>
        <w:t>say</w:t>
      </w:r>
      <w:r w:rsidR="00F341B1" w:rsidRPr="00B57B6A">
        <w:rPr>
          <w:rFonts w:ascii="Times New Roman" w:hAnsi="Times New Roman" w:cs="Times New Roman"/>
          <w:sz w:val="24"/>
          <w:szCs w:val="24"/>
        </w:rPr>
        <w:t>s</w:t>
      </w:r>
      <w:r w:rsidR="00A12AB7" w:rsidRPr="00B57B6A">
        <w:rPr>
          <w:rFonts w:ascii="Times New Roman" w:hAnsi="Times New Roman" w:cs="Times New Roman"/>
          <w:sz w:val="24"/>
          <w:szCs w:val="24"/>
        </w:rPr>
        <w:t xml:space="preserve"> Dr. Puras, that </w:t>
      </w:r>
      <w:r w:rsidR="00B668ED">
        <w:rPr>
          <w:rFonts w:ascii="Times New Roman" w:hAnsi="Times New Roman" w:cs="Times New Roman"/>
          <w:sz w:val="24"/>
          <w:szCs w:val="24"/>
        </w:rPr>
        <w:t xml:space="preserve">they </w:t>
      </w:r>
      <w:r w:rsidR="00901D7A">
        <w:rPr>
          <w:rFonts w:ascii="Times New Roman" w:hAnsi="Times New Roman" w:cs="Times New Roman"/>
          <w:sz w:val="24"/>
          <w:szCs w:val="24"/>
        </w:rPr>
        <w:t xml:space="preserve">are </w:t>
      </w:r>
      <w:r w:rsidR="00901D7A" w:rsidRPr="00B57B6A">
        <w:rPr>
          <w:rFonts w:ascii="Times New Roman" w:hAnsi="Times New Roman" w:cs="Times New Roman"/>
          <w:sz w:val="24"/>
          <w:szCs w:val="24"/>
        </w:rPr>
        <w:t>“</w:t>
      </w:r>
      <w:r w:rsidR="00A84AFA" w:rsidRPr="00B57B6A">
        <w:rPr>
          <w:rFonts w:ascii="Times New Roman" w:hAnsi="Times New Roman" w:cs="Times New Roman"/>
          <w:sz w:val="24"/>
          <w:szCs w:val="24"/>
        </w:rPr>
        <w:t>preconditions for the development of healthy attachment and trust in relations with ot</w:t>
      </w:r>
      <w:r w:rsidR="007D484B" w:rsidRPr="00B57B6A">
        <w:rPr>
          <w:rFonts w:ascii="Times New Roman" w:hAnsi="Times New Roman" w:cs="Times New Roman"/>
          <w:sz w:val="24"/>
          <w:szCs w:val="24"/>
        </w:rPr>
        <w:t>her people in later stages of life. They cannot be secured in the institutional culture, despite all efforts to invest financial and human resources in those facilities.”</w:t>
      </w:r>
      <w:bookmarkStart w:id="38" w:name="_Ref466284177"/>
      <w:r w:rsidR="007D484B" w:rsidRPr="00B57B6A">
        <w:rPr>
          <w:rStyle w:val="FootnoteReference"/>
          <w:rFonts w:ascii="Times New Roman" w:hAnsi="Times New Roman" w:cs="Times New Roman"/>
          <w:sz w:val="24"/>
          <w:szCs w:val="24"/>
        </w:rPr>
        <w:footnoteReference w:id="72"/>
      </w:r>
      <w:bookmarkEnd w:id="38"/>
      <w:r w:rsidR="007D484B" w:rsidRPr="00B57B6A">
        <w:rPr>
          <w:rFonts w:ascii="Times New Roman" w:hAnsi="Times New Roman" w:cs="Times New Roman"/>
          <w:sz w:val="24"/>
          <w:szCs w:val="24"/>
        </w:rPr>
        <w:t xml:space="preserve"> </w:t>
      </w:r>
      <w:r w:rsidR="00977DE4" w:rsidRPr="00B57B6A">
        <w:rPr>
          <w:rFonts w:ascii="Times New Roman" w:hAnsi="Times New Roman" w:cs="Times New Roman"/>
          <w:sz w:val="24"/>
          <w:szCs w:val="24"/>
        </w:rPr>
        <w:t>In its 2013 annual “State of the World’s Children” report for 2013, UNICEF finds</w:t>
      </w:r>
      <w:r w:rsidR="00CB30B5" w:rsidRPr="00B57B6A">
        <w:rPr>
          <w:rFonts w:ascii="Times New Roman" w:hAnsi="Times New Roman" w:cs="Times New Roman"/>
          <w:sz w:val="24"/>
          <w:szCs w:val="24"/>
        </w:rPr>
        <w:t xml:space="preserve"> that institutions are a “poor substitute for a nurturing home even if they are well run, responsive to children’s needs, and subject to </w:t>
      </w:r>
      <w:r w:rsidR="00977DE4" w:rsidRPr="00B57B6A">
        <w:rPr>
          <w:rFonts w:ascii="Times New Roman" w:hAnsi="Times New Roman" w:cs="Times New Roman"/>
          <w:sz w:val="24"/>
          <w:szCs w:val="24"/>
        </w:rPr>
        <w:t>inspection.”</w:t>
      </w:r>
      <w:bookmarkStart w:id="39" w:name="_Ref334305351"/>
      <w:r w:rsidR="00977DE4" w:rsidRPr="00B57B6A">
        <w:rPr>
          <w:rStyle w:val="FootnoteReference"/>
          <w:rFonts w:ascii="Times New Roman" w:hAnsi="Times New Roman" w:cs="Times New Roman"/>
          <w:sz w:val="24"/>
          <w:szCs w:val="24"/>
        </w:rPr>
        <w:footnoteReference w:id="73"/>
      </w:r>
      <w:bookmarkEnd w:id="39"/>
      <w:r w:rsidR="0066171B" w:rsidRPr="00B57B6A">
        <w:rPr>
          <w:rFonts w:ascii="Times New Roman" w:hAnsi="Times New Roman" w:cs="Times New Roman"/>
          <w:sz w:val="24"/>
          <w:szCs w:val="24"/>
        </w:rPr>
        <w:t xml:space="preserve"> </w:t>
      </w:r>
      <w:r w:rsidR="007D484B" w:rsidRPr="00B57B6A">
        <w:rPr>
          <w:rFonts w:ascii="Times New Roman" w:hAnsi="Times New Roman" w:cs="Times New Roman"/>
          <w:sz w:val="24"/>
          <w:szCs w:val="24"/>
        </w:rPr>
        <w:t xml:space="preserve"> </w:t>
      </w:r>
    </w:p>
    <w:p w14:paraId="1ADF9CBD" w14:textId="72E73BF9" w:rsidR="004B40D7" w:rsidRPr="00B57B6A" w:rsidRDefault="004B40D7" w:rsidP="00EB136D">
      <w:pPr>
        <w:pStyle w:val="Heading2"/>
        <w:numPr>
          <w:ilvl w:val="0"/>
          <w:numId w:val="33"/>
        </w:numPr>
        <w:spacing w:line="240" w:lineRule="auto"/>
        <w:rPr>
          <w:rFonts w:ascii="Times New Roman" w:hAnsi="Times New Roman" w:cs="Times New Roman"/>
          <w:sz w:val="24"/>
          <w:szCs w:val="24"/>
        </w:rPr>
      </w:pPr>
      <w:bookmarkStart w:id="40" w:name="_Toc471468471"/>
      <w:r w:rsidRPr="00B57B6A">
        <w:rPr>
          <w:rFonts w:ascii="Times New Roman" w:hAnsi="Times New Roman" w:cs="Times New Roman"/>
          <w:sz w:val="24"/>
          <w:szCs w:val="24"/>
        </w:rPr>
        <w:t>Mixed international response</w:t>
      </w:r>
      <w:bookmarkEnd w:id="40"/>
    </w:p>
    <w:p w14:paraId="4D0E9AAA" w14:textId="67C83DD6" w:rsidR="0006024D" w:rsidRPr="00B57B6A" w:rsidRDefault="004B40D7" w:rsidP="00B57B6A">
      <w:pPr>
        <w:spacing w:line="240" w:lineRule="auto"/>
        <w:jc w:val="both"/>
        <w:rPr>
          <w:rFonts w:ascii="Times New Roman" w:hAnsi="Times New Roman" w:cs="Times New Roman"/>
          <w:b/>
          <w:sz w:val="24"/>
          <w:szCs w:val="24"/>
        </w:rPr>
      </w:pPr>
      <w:r w:rsidRPr="00B57B6A">
        <w:rPr>
          <w:rFonts w:ascii="Times New Roman" w:hAnsi="Times New Roman" w:cs="Times New Roman"/>
          <w:sz w:val="24"/>
          <w:szCs w:val="24"/>
        </w:rPr>
        <w:t>Citing the dangers of institutionalization</w:t>
      </w:r>
      <w:r w:rsidR="007D484B" w:rsidRPr="00B57B6A">
        <w:rPr>
          <w:rFonts w:ascii="Times New Roman" w:hAnsi="Times New Roman" w:cs="Times New Roman"/>
          <w:sz w:val="24"/>
          <w:szCs w:val="24"/>
        </w:rPr>
        <w:t xml:space="preserve">, the main recommendation of </w:t>
      </w:r>
      <w:r w:rsidR="00977DE4" w:rsidRPr="00B57B6A">
        <w:rPr>
          <w:rFonts w:ascii="Times New Roman" w:hAnsi="Times New Roman" w:cs="Times New Roman"/>
          <w:sz w:val="24"/>
          <w:szCs w:val="24"/>
        </w:rPr>
        <w:t xml:space="preserve">the 2013 UNICEF </w:t>
      </w:r>
      <w:r w:rsidR="007D484B" w:rsidRPr="00B57B6A">
        <w:rPr>
          <w:rFonts w:ascii="Times New Roman" w:hAnsi="Times New Roman" w:cs="Times New Roman"/>
          <w:sz w:val="24"/>
          <w:szCs w:val="24"/>
        </w:rPr>
        <w:t xml:space="preserve">State of the World’s Children </w:t>
      </w:r>
      <w:r w:rsidR="00977DE4" w:rsidRPr="00B57B6A">
        <w:rPr>
          <w:rFonts w:ascii="Times New Roman" w:hAnsi="Times New Roman" w:cs="Times New Roman"/>
          <w:sz w:val="24"/>
          <w:szCs w:val="24"/>
        </w:rPr>
        <w:t>report</w:t>
      </w:r>
      <w:r w:rsidR="007D484B" w:rsidRPr="00B57B6A">
        <w:rPr>
          <w:rFonts w:ascii="Times New Roman" w:hAnsi="Times New Roman" w:cs="Times New Roman"/>
          <w:sz w:val="24"/>
          <w:szCs w:val="24"/>
        </w:rPr>
        <w:t>, with reference to this population,</w:t>
      </w:r>
      <w:r w:rsidR="00977DE4" w:rsidRPr="00B57B6A">
        <w:rPr>
          <w:rFonts w:ascii="Times New Roman" w:hAnsi="Times New Roman" w:cs="Times New Roman"/>
          <w:sz w:val="24"/>
          <w:szCs w:val="24"/>
        </w:rPr>
        <w:t xml:space="preserve"> is to “end institutionalization.”</w:t>
      </w:r>
      <w:r w:rsidR="00977DE4" w:rsidRPr="00B57B6A">
        <w:rPr>
          <w:rStyle w:val="FootnoteReference"/>
          <w:rFonts w:ascii="Times New Roman" w:hAnsi="Times New Roman" w:cs="Times New Roman"/>
          <w:sz w:val="24"/>
          <w:szCs w:val="24"/>
        </w:rPr>
        <w:footnoteReference w:id="74"/>
      </w:r>
      <w:r w:rsidR="00A12AB7" w:rsidRPr="00B57B6A">
        <w:rPr>
          <w:rFonts w:ascii="Times New Roman" w:hAnsi="Times New Roman" w:cs="Times New Roman"/>
          <w:sz w:val="24"/>
          <w:szCs w:val="24"/>
        </w:rPr>
        <w:t xml:space="preserve"> </w:t>
      </w:r>
      <w:r w:rsidR="002F30CE" w:rsidRPr="00B57B6A">
        <w:rPr>
          <w:rFonts w:ascii="Times New Roman" w:hAnsi="Times New Roman" w:cs="Times New Roman"/>
          <w:sz w:val="24"/>
          <w:szCs w:val="24"/>
        </w:rPr>
        <w:t>UNICEF published a “Perspective” in the same report by this author and Laurie Ahern</w:t>
      </w:r>
      <w:r w:rsidR="00E57245" w:rsidRPr="00B57B6A">
        <w:rPr>
          <w:rFonts w:ascii="Times New Roman" w:hAnsi="Times New Roman" w:cs="Times New Roman"/>
          <w:sz w:val="24"/>
          <w:szCs w:val="24"/>
        </w:rPr>
        <w:t>,</w:t>
      </w:r>
      <w:r w:rsidR="002F30CE" w:rsidRPr="00B57B6A">
        <w:rPr>
          <w:rFonts w:ascii="Times New Roman" w:hAnsi="Times New Roman" w:cs="Times New Roman"/>
          <w:sz w:val="24"/>
          <w:szCs w:val="24"/>
        </w:rPr>
        <w:t xml:space="preserve"> President of </w:t>
      </w:r>
      <w:r w:rsidR="00E57245" w:rsidRPr="00B57B6A">
        <w:rPr>
          <w:rFonts w:ascii="Times New Roman" w:hAnsi="Times New Roman" w:cs="Times New Roman"/>
          <w:sz w:val="24"/>
          <w:szCs w:val="24"/>
        </w:rPr>
        <w:t>DRI,</w:t>
      </w:r>
      <w:r w:rsidR="002F30CE" w:rsidRPr="00B57B6A">
        <w:rPr>
          <w:rFonts w:ascii="Times New Roman" w:hAnsi="Times New Roman" w:cs="Times New Roman"/>
          <w:sz w:val="24"/>
          <w:szCs w:val="24"/>
        </w:rPr>
        <w:t xml:space="preserve"> calling for a worldwide moratorium on all new placements in institutions.</w:t>
      </w:r>
      <w:r w:rsidR="007329BB" w:rsidRPr="00B57B6A">
        <w:rPr>
          <w:rStyle w:val="FootnoteReference"/>
          <w:rFonts w:ascii="Times New Roman" w:hAnsi="Times New Roman" w:cs="Times New Roman"/>
          <w:sz w:val="24"/>
          <w:szCs w:val="24"/>
        </w:rPr>
        <w:footnoteReference w:id="75"/>
      </w:r>
      <w:r w:rsidR="007329BB" w:rsidRPr="00B57B6A">
        <w:rPr>
          <w:rFonts w:ascii="Times New Roman" w:hAnsi="Times New Roman" w:cs="Times New Roman"/>
          <w:sz w:val="24"/>
          <w:szCs w:val="24"/>
        </w:rPr>
        <w:t xml:space="preserve"> </w:t>
      </w:r>
      <w:r w:rsidR="00620A14" w:rsidRPr="00B57B6A">
        <w:rPr>
          <w:rFonts w:ascii="Times New Roman" w:hAnsi="Times New Roman" w:cs="Times New Roman"/>
          <w:sz w:val="24"/>
          <w:szCs w:val="24"/>
        </w:rPr>
        <w:t>In what has come to be known as the “Bucharest Declaration,” the World Health Organization’s Europea</w:t>
      </w:r>
      <w:r w:rsidRPr="00B57B6A">
        <w:rPr>
          <w:rFonts w:ascii="Times New Roman" w:hAnsi="Times New Roman" w:cs="Times New Roman"/>
          <w:sz w:val="24"/>
          <w:szCs w:val="24"/>
        </w:rPr>
        <w:t>n Office in 2010 called for an end to placements in institutions</w:t>
      </w:r>
      <w:r w:rsidR="00620A14" w:rsidRPr="00B57B6A">
        <w:rPr>
          <w:rFonts w:ascii="Times New Roman" w:hAnsi="Times New Roman" w:cs="Times New Roman"/>
          <w:sz w:val="24"/>
          <w:szCs w:val="24"/>
        </w:rPr>
        <w:t>,</w:t>
      </w:r>
      <w:bookmarkStart w:id="41" w:name="_Ref336389679"/>
      <w:r w:rsidR="00620A14" w:rsidRPr="00B57B6A">
        <w:rPr>
          <w:rStyle w:val="FootnoteReference"/>
          <w:rFonts w:ascii="Times New Roman" w:hAnsi="Times New Roman" w:cs="Times New Roman"/>
          <w:sz w:val="24"/>
          <w:szCs w:val="24"/>
        </w:rPr>
        <w:footnoteReference w:id="76"/>
      </w:r>
      <w:bookmarkEnd w:id="41"/>
      <w:r w:rsidR="00620A14" w:rsidRPr="00B57B6A">
        <w:rPr>
          <w:rFonts w:ascii="Times New Roman" w:hAnsi="Times New Roman" w:cs="Times New Roman"/>
          <w:sz w:val="24"/>
          <w:szCs w:val="24"/>
        </w:rPr>
        <w:t xml:space="preserve"> as did the European </w:t>
      </w:r>
      <w:r w:rsidR="00010F00" w:rsidRPr="00B57B6A">
        <w:rPr>
          <w:rFonts w:ascii="Times New Roman" w:hAnsi="Times New Roman" w:cs="Times New Roman"/>
          <w:sz w:val="24"/>
          <w:szCs w:val="24"/>
        </w:rPr>
        <w:t>Commissioner for Human Rights</w:t>
      </w:r>
      <w:r w:rsidR="00620A14" w:rsidRPr="00B57B6A">
        <w:rPr>
          <w:rFonts w:ascii="Times New Roman" w:hAnsi="Times New Roman" w:cs="Times New Roman"/>
          <w:sz w:val="24"/>
          <w:szCs w:val="24"/>
        </w:rPr>
        <w:t>.</w:t>
      </w:r>
      <w:bookmarkStart w:id="42" w:name="_Ref336371165"/>
      <w:r w:rsidR="00620A14" w:rsidRPr="00B57B6A">
        <w:rPr>
          <w:rStyle w:val="FootnoteReference"/>
          <w:rFonts w:ascii="Times New Roman" w:hAnsi="Times New Roman" w:cs="Times New Roman"/>
          <w:sz w:val="24"/>
          <w:szCs w:val="24"/>
        </w:rPr>
        <w:footnoteReference w:id="77"/>
      </w:r>
      <w:bookmarkEnd w:id="42"/>
      <w:r w:rsidR="00D20D48" w:rsidRPr="00B57B6A">
        <w:rPr>
          <w:rFonts w:ascii="Times New Roman" w:hAnsi="Times New Roman" w:cs="Times New Roman"/>
          <w:sz w:val="24"/>
          <w:szCs w:val="24"/>
        </w:rPr>
        <w:t xml:space="preserve"> </w:t>
      </w:r>
      <w:r w:rsidR="00920BE8" w:rsidRPr="00B57B6A">
        <w:rPr>
          <w:rFonts w:ascii="Times New Roman" w:hAnsi="Times New Roman" w:cs="Times New Roman"/>
          <w:sz w:val="24"/>
          <w:szCs w:val="24"/>
        </w:rPr>
        <w:t xml:space="preserve">UNICEF </w:t>
      </w:r>
      <w:r w:rsidR="00516236" w:rsidRPr="00B57B6A">
        <w:rPr>
          <w:rFonts w:ascii="Times New Roman" w:hAnsi="Times New Roman" w:cs="Times New Roman"/>
          <w:sz w:val="24"/>
          <w:szCs w:val="24"/>
        </w:rPr>
        <w:t xml:space="preserve">has </w:t>
      </w:r>
      <w:r w:rsidR="00920BE8" w:rsidRPr="00B57B6A">
        <w:rPr>
          <w:rFonts w:ascii="Times New Roman" w:hAnsi="Times New Roman" w:cs="Times New Roman"/>
          <w:sz w:val="24"/>
          <w:szCs w:val="24"/>
        </w:rPr>
        <w:t xml:space="preserve">supported </w:t>
      </w:r>
      <w:r w:rsidR="00516236" w:rsidRPr="00B57B6A">
        <w:rPr>
          <w:rFonts w:ascii="Times New Roman" w:hAnsi="Times New Roman" w:cs="Times New Roman"/>
          <w:sz w:val="24"/>
          <w:szCs w:val="24"/>
        </w:rPr>
        <w:t xml:space="preserve">“starting with </w:t>
      </w:r>
      <w:r w:rsidR="00920BE8" w:rsidRPr="00B57B6A">
        <w:rPr>
          <w:rFonts w:ascii="Times New Roman" w:hAnsi="Times New Roman" w:cs="Times New Roman"/>
          <w:sz w:val="24"/>
          <w:szCs w:val="24"/>
        </w:rPr>
        <w:t xml:space="preserve">a moratorium </w:t>
      </w:r>
      <w:r w:rsidR="00516236" w:rsidRPr="00B57B6A">
        <w:rPr>
          <w:rFonts w:ascii="Times New Roman" w:hAnsi="Times New Roman" w:cs="Times New Roman"/>
          <w:sz w:val="24"/>
          <w:szCs w:val="24"/>
        </w:rPr>
        <w:t xml:space="preserve">on new admissions” as one of its top recommendations for ending the </w:t>
      </w:r>
      <w:r w:rsidR="00516236" w:rsidRPr="00B57B6A">
        <w:rPr>
          <w:rFonts w:ascii="Times New Roman" w:hAnsi="Times New Roman" w:cs="Times New Roman"/>
          <w:sz w:val="24"/>
          <w:szCs w:val="24"/>
        </w:rPr>
        <w:lastRenderedPageBreak/>
        <w:t>institutionalization of children.</w:t>
      </w:r>
      <w:r w:rsidR="00920BE8" w:rsidRPr="00B57B6A">
        <w:rPr>
          <w:rStyle w:val="FootnoteReference"/>
          <w:rFonts w:ascii="Times New Roman" w:hAnsi="Times New Roman" w:cs="Times New Roman"/>
          <w:sz w:val="24"/>
          <w:szCs w:val="24"/>
        </w:rPr>
        <w:footnoteReference w:id="78"/>
      </w:r>
      <w:r w:rsidR="00920BE8" w:rsidRPr="00B57B6A">
        <w:rPr>
          <w:rFonts w:ascii="Times New Roman" w:hAnsi="Times New Roman" w:cs="Times New Roman"/>
          <w:sz w:val="24"/>
          <w:szCs w:val="24"/>
        </w:rPr>
        <w:t xml:space="preserve"> But</w:t>
      </w:r>
      <w:r w:rsidR="008F0020" w:rsidRPr="00B57B6A">
        <w:rPr>
          <w:rFonts w:ascii="Times New Roman" w:hAnsi="Times New Roman" w:cs="Times New Roman"/>
          <w:sz w:val="24"/>
          <w:szCs w:val="24"/>
        </w:rPr>
        <w:t xml:space="preserve"> </w:t>
      </w:r>
      <w:r w:rsidR="000642F8" w:rsidRPr="00B57B6A">
        <w:rPr>
          <w:rFonts w:ascii="Times New Roman" w:hAnsi="Times New Roman" w:cs="Times New Roman"/>
          <w:sz w:val="24"/>
          <w:szCs w:val="24"/>
        </w:rPr>
        <w:t xml:space="preserve">UNICEF’s State of the World’s Children </w:t>
      </w:r>
      <w:r w:rsidR="005B4BD8" w:rsidRPr="00B57B6A">
        <w:rPr>
          <w:rFonts w:ascii="Times New Roman" w:hAnsi="Times New Roman" w:cs="Times New Roman"/>
          <w:sz w:val="24"/>
          <w:szCs w:val="24"/>
        </w:rPr>
        <w:t xml:space="preserve">Report </w:t>
      </w:r>
      <w:r w:rsidR="00516236" w:rsidRPr="00B57B6A">
        <w:rPr>
          <w:rFonts w:ascii="Times New Roman" w:hAnsi="Times New Roman" w:cs="Times New Roman"/>
          <w:sz w:val="24"/>
          <w:szCs w:val="24"/>
        </w:rPr>
        <w:t xml:space="preserve">backed off slightly from </w:t>
      </w:r>
      <w:r w:rsidR="00C81FCB" w:rsidRPr="00B57B6A">
        <w:rPr>
          <w:rFonts w:ascii="Times New Roman" w:hAnsi="Times New Roman" w:cs="Times New Roman"/>
          <w:sz w:val="24"/>
          <w:szCs w:val="24"/>
        </w:rPr>
        <w:t>this position -- saying</w:t>
      </w:r>
      <w:r w:rsidR="000642F8" w:rsidRPr="00B57B6A">
        <w:rPr>
          <w:rFonts w:ascii="Times New Roman" w:hAnsi="Times New Roman" w:cs="Times New Roman"/>
          <w:sz w:val="24"/>
          <w:szCs w:val="24"/>
        </w:rPr>
        <w:t xml:space="preserve"> that a worldwide moratorium </w:t>
      </w:r>
      <w:r w:rsidR="005B4BD8" w:rsidRPr="00B57B6A">
        <w:rPr>
          <w:rFonts w:ascii="Times New Roman" w:hAnsi="Times New Roman" w:cs="Times New Roman"/>
          <w:sz w:val="24"/>
          <w:szCs w:val="24"/>
        </w:rPr>
        <w:t xml:space="preserve">should be considered as </w:t>
      </w:r>
      <w:r w:rsidR="000642F8" w:rsidRPr="00B57B6A">
        <w:rPr>
          <w:rFonts w:ascii="Times New Roman" w:hAnsi="Times New Roman" w:cs="Times New Roman"/>
          <w:sz w:val="24"/>
          <w:szCs w:val="24"/>
        </w:rPr>
        <w:t>strategy to end institutionalization.</w:t>
      </w:r>
      <w:r w:rsidR="008F0020" w:rsidRPr="00B57B6A">
        <w:rPr>
          <w:rStyle w:val="FootnoteReference"/>
          <w:rFonts w:ascii="Times New Roman" w:hAnsi="Times New Roman" w:cs="Times New Roman"/>
          <w:sz w:val="24"/>
          <w:szCs w:val="24"/>
        </w:rPr>
        <w:footnoteReference w:id="79"/>
      </w:r>
      <w:r w:rsidR="0066171B" w:rsidRPr="00B57B6A">
        <w:rPr>
          <w:rFonts w:ascii="Times New Roman" w:hAnsi="Times New Roman" w:cs="Times New Roman"/>
          <w:sz w:val="24"/>
          <w:szCs w:val="24"/>
        </w:rPr>
        <w:t xml:space="preserve"> </w:t>
      </w:r>
    </w:p>
    <w:p w14:paraId="065B792D" w14:textId="0F5A1979" w:rsidR="00EA1407" w:rsidRPr="00B57B6A" w:rsidRDefault="00EA140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International experience has shown that </w:t>
      </w:r>
      <w:r w:rsidR="00E80338" w:rsidRPr="00B57B6A">
        <w:rPr>
          <w:rFonts w:ascii="Times New Roman" w:hAnsi="Times New Roman" w:cs="Times New Roman"/>
          <w:sz w:val="24"/>
          <w:szCs w:val="24"/>
        </w:rPr>
        <w:t xml:space="preserve">it </w:t>
      </w:r>
      <w:r w:rsidRPr="00B57B6A">
        <w:rPr>
          <w:rFonts w:ascii="Times New Roman" w:hAnsi="Times New Roman" w:cs="Times New Roman"/>
          <w:sz w:val="24"/>
          <w:szCs w:val="24"/>
        </w:rPr>
        <w:t>is important</w:t>
      </w:r>
      <w:r w:rsidR="00B57656">
        <w:rPr>
          <w:rFonts w:ascii="Times New Roman" w:hAnsi="Times New Roman" w:cs="Times New Roman"/>
          <w:sz w:val="24"/>
          <w:szCs w:val="24"/>
        </w:rPr>
        <w:t xml:space="preserve"> not only</w:t>
      </w:r>
      <w:r w:rsidRPr="00B57B6A">
        <w:rPr>
          <w:rFonts w:ascii="Times New Roman" w:hAnsi="Times New Roman" w:cs="Times New Roman"/>
          <w:sz w:val="24"/>
          <w:szCs w:val="24"/>
        </w:rPr>
        <w:t xml:space="preserve"> to phase down institutions</w:t>
      </w:r>
      <w:r w:rsidR="00AA4003">
        <w:rPr>
          <w:rFonts w:ascii="Times New Roman" w:hAnsi="Times New Roman" w:cs="Times New Roman"/>
          <w:sz w:val="24"/>
          <w:szCs w:val="24"/>
        </w:rPr>
        <w:t>,</w:t>
      </w:r>
      <w:r w:rsidRPr="00B57B6A">
        <w:rPr>
          <w:rFonts w:ascii="Times New Roman" w:hAnsi="Times New Roman" w:cs="Times New Roman"/>
          <w:sz w:val="24"/>
          <w:szCs w:val="24"/>
        </w:rPr>
        <w:t xml:space="preserve"> but to close them entirely. As Save the Children has pointed out, “[t]he very existence of institutions encourages families to place their children into care and draws funding away from services that could support children to thrive within families and communities.”</w:t>
      </w:r>
      <w:r w:rsidRPr="00B57B6A">
        <w:rPr>
          <w:rStyle w:val="FootnoteReference"/>
          <w:rFonts w:ascii="Times New Roman" w:hAnsi="Times New Roman" w:cs="Times New Roman"/>
          <w:sz w:val="24"/>
          <w:szCs w:val="24"/>
        </w:rPr>
        <w:footnoteReference w:id="80"/>
      </w:r>
    </w:p>
    <w:p w14:paraId="1404C344" w14:textId="553B73B2" w:rsidR="00EA1407" w:rsidRDefault="00F341B1"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There is an enormous disparity between public perception that orphanages are humane places for children who have no place to go and research findings that they are both dangerous and inappropriate placements for children. Many well-meaning charities, faith-based donors and international developm</w:t>
      </w:r>
      <w:r w:rsidR="00EA1407" w:rsidRPr="00B57B6A">
        <w:rPr>
          <w:rFonts w:ascii="Times New Roman" w:hAnsi="Times New Roman" w:cs="Times New Roman"/>
          <w:sz w:val="24"/>
          <w:szCs w:val="24"/>
        </w:rPr>
        <w:t>ent agencies support orphanages</w:t>
      </w:r>
      <w:r w:rsidRPr="00B57B6A">
        <w:rPr>
          <w:rFonts w:ascii="Times New Roman" w:hAnsi="Times New Roman" w:cs="Times New Roman"/>
          <w:b/>
          <w:sz w:val="24"/>
          <w:szCs w:val="24"/>
        </w:rPr>
        <w:t xml:space="preserve"> </w:t>
      </w:r>
      <w:r w:rsidRPr="00B57B6A">
        <w:rPr>
          <w:rFonts w:ascii="Times New Roman" w:hAnsi="Times New Roman" w:cs="Times New Roman"/>
          <w:sz w:val="24"/>
          <w:szCs w:val="24"/>
        </w:rPr>
        <w:t>at the same time as UNICEF is calling for their closure.</w:t>
      </w:r>
      <w:r w:rsidR="00EA1407" w:rsidRPr="00B57B6A">
        <w:rPr>
          <w:rStyle w:val="FootnoteReference"/>
          <w:rFonts w:ascii="Times New Roman" w:hAnsi="Times New Roman" w:cs="Times New Roman"/>
          <w:sz w:val="24"/>
          <w:szCs w:val="24"/>
        </w:rPr>
        <w:footnoteReference w:id="81"/>
      </w:r>
      <w:r w:rsidRPr="00B57B6A">
        <w:rPr>
          <w:rFonts w:ascii="Times New Roman" w:hAnsi="Times New Roman" w:cs="Times New Roman"/>
          <w:sz w:val="24"/>
          <w:szCs w:val="24"/>
        </w:rPr>
        <w:t xml:space="preserve"> One of the greatest challenges to </w:t>
      </w:r>
      <w:r w:rsidR="00A4469A">
        <w:rPr>
          <w:rFonts w:ascii="Times New Roman" w:hAnsi="Times New Roman" w:cs="Times New Roman"/>
          <w:sz w:val="24"/>
          <w:szCs w:val="24"/>
        </w:rPr>
        <w:t xml:space="preserve">the </w:t>
      </w:r>
      <w:r w:rsidRPr="00B57B6A">
        <w:rPr>
          <w:rFonts w:ascii="Times New Roman" w:hAnsi="Times New Roman" w:cs="Times New Roman"/>
          <w:sz w:val="24"/>
          <w:szCs w:val="24"/>
        </w:rPr>
        <w:t xml:space="preserve">implementation of </w:t>
      </w:r>
      <w:r w:rsidR="00133C1E" w:rsidRPr="00B57B6A">
        <w:rPr>
          <w:rFonts w:ascii="Times New Roman" w:hAnsi="Times New Roman" w:cs="Times New Roman"/>
          <w:sz w:val="24"/>
          <w:szCs w:val="24"/>
        </w:rPr>
        <w:t xml:space="preserve">these </w:t>
      </w:r>
      <w:r w:rsidRPr="00B57B6A">
        <w:rPr>
          <w:rFonts w:ascii="Times New Roman" w:hAnsi="Times New Roman" w:cs="Times New Roman"/>
          <w:sz w:val="24"/>
          <w:szCs w:val="24"/>
        </w:rPr>
        <w:t>positions by UN</w:t>
      </w:r>
      <w:r w:rsidR="009504CD">
        <w:rPr>
          <w:rFonts w:ascii="Times New Roman" w:hAnsi="Times New Roman" w:cs="Times New Roman"/>
          <w:sz w:val="24"/>
          <w:szCs w:val="24"/>
        </w:rPr>
        <w:t>I</w:t>
      </w:r>
      <w:r w:rsidRPr="00B57B6A">
        <w:rPr>
          <w:rFonts w:ascii="Times New Roman" w:hAnsi="Times New Roman" w:cs="Times New Roman"/>
          <w:sz w:val="24"/>
          <w:szCs w:val="24"/>
        </w:rPr>
        <w:t>CEF, WHO, and the European Commissioner for Human Rights is that “many States do not yet believe that a full-scale move toward deinstitutionalization is justified.”</w:t>
      </w:r>
      <w:r w:rsidRPr="00B57B6A">
        <w:rPr>
          <w:rStyle w:val="FootnoteReference"/>
          <w:rFonts w:ascii="Times New Roman" w:hAnsi="Times New Roman" w:cs="Times New Roman"/>
          <w:sz w:val="24"/>
          <w:szCs w:val="24"/>
        </w:rPr>
        <w:footnoteReference w:id="82"/>
      </w:r>
    </w:p>
    <w:p w14:paraId="2AE9C581" w14:textId="77777777" w:rsidR="001A3CF6" w:rsidRPr="00B57B6A" w:rsidRDefault="001A3CF6" w:rsidP="00B57B6A">
      <w:pPr>
        <w:spacing w:line="240" w:lineRule="auto"/>
        <w:jc w:val="both"/>
        <w:rPr>
          <w:rFonts w:ascii="Times New Roman" w:hAnsi="Times New Roman" w:cs="Times New Roman"/>
          <w:sz w:val="24"/>
          <w:szCs w:val="24"/>
        </w:rPr>
      </w:pPr>
    </w:p>
    <w:p w14:paraId="4CD8D71E" w14:textId="2BF4C38F" w:rsidR="00B81FD0" w:rsidRPr="00B57B6A" w:rsidRDefault="002E3FE5" w:rsidP="00EB136D">
      <w:pPr>
        <w:pStyle w:val="Heading1"/>
        <w:numPr>
          <w:ilvl w:val="0"/>
          <w:numId w:val="35"/>
        </w:numPr>
        <w:spacing w:line="240" w:lineRule="auto"/>
        <w:rPr>
          <w:rFonts w:ascii="Times New Roman" w:hAnsi="Times New Roman" w:cs="Times New Roman"/>
          <w:b w:val="0"/>
          <w:sz w:val="24"/>
          <w:szCs w:val="24"/>
        </w:rPr>
      </w:pPr>
      <w:bookmarkStart w:id="43" w:name="_Toc471468472"/>
      <w:r w:rsidRPr="00B57B6A">
        <w:rPr>
          <w:rFonts w:ascii="Times New Roman" w:hAnsi="Times New Roman" w:cs="Times New Roman"/>
          <w:sz w:val="24"/>
          <w:szCs w:val="24"/>
        </w:rPr>
        <w:t>Obligations of governments</w:t>
      </w:r>
      <w:bookmarkEnd w:id="43"/>
    </w:p>
    <w:p w14:paraId="5DF2A45B" w14:textId="10A73C05" w:rsidR="001A3CF6" w:rsidRPr="001A3CF6" w:rsidRDefault="001A3CF6" w:rsidP="001A3CF6">
      <w:pPr>
        <w:spacing w:line="240" w:lineRule="auto"/>
        <w:rPr>
          <w:rFonts w:ascii="Times New Roman" w:hAnsi="Times New Roman" w:cs="Times New Roman"/>
          <w:sz w:val="24"/>
          <w:szCs w:val="24"/>
        </w:rPr>
      </w:pPr>
      <w:bookmarkStart w:id="44" w:name="_Toc471468473"/>
      <w:r w:rsidRPr="001A3CF6">
        <w:rPr>
          <w:rFonts w:ascii="Times New Roman" w:hAnsi="Times New Roman" w:cs="Times New Roman"/>
          <w:sz w:val="24"/>
          <w:szCs w:val="24"/>
        </w:rPr>
        <w:t>International law creates a duty on governments to prevent both torture and segregation.  While these are two separate obligations, the Méndez Report shows that these rights are closely inter-dependent.</w:t>
      </w:r>
    </w:p>
    <w:p w14:paraId="167B7297" w14:textId="11956DCE" w:rsidR="002E3FE5" w:rsidRPr="00B57B6A" w:rsidRDefault="00054BDD" w:rsidP="00B57B6A">
      <w:pPr>
        <w:pStyle w:val="Heading2"/>
        <w:numPr>
          <w:ilvl w:val="0"/>
          <w:numId w:val="26"/>
        </w:numPr>
        <w:spacing w:line="240" w:lineRule="auto"/>
        <w:rPr>
          <w:rFonts w:ascii="Times New Roman" w:hAnsi="Times New Roman" w:cs="Times New Roman"/>
          <w:sz w:val="24"/>
          <w:szCs w:val="24"/>
        </w:rPr>
      </w:pPr>
      <w:r w:rsidRPr="00B57B6A">
        <w:rPr>
          <w:rFonts w:ascii="Times New Roman" w:hAnsi="Times New Roman" w:cs="Times New Roman"/>
          <w:sz w:val="24"/>
          <w:szCs w:val="24"/>
        </w:rPr>
        <w:t>D</w:t>
      </w:r>
      <w:r w:rsidR="002E3FE5" w:rsidRPr="00B57B6A">
        <w:rPr>
          <w:rFonts w:ascii="Times New Roman" w:hAnsi="Times New Roman" w:cs="Times New Roman"/>
          <w:sz w:val="24"/>
          <w:szCs w:val="24"/>
        </w:rPr>
        <w:t>uty to prevent</w:t>
      </w:r>
      <w:r w:rsidRPr="00B57B6A">
        <w:rPr>
          <w:rFonts w:ascii="Times New Roman" w:hAnsi="Times New Roman" w:cs="Times New Roman"/>
          <w:sz w:val="24"/>
          <w:szCs w:val="24"/>
        </w:rPr>
        <w:t xml:space="preserve"> torture</w:t>
      </w:r>
      <w:bookmarkEnd w:id="44"/>
    </w:p>
    <w:p w14:paraId="18E7C155" w14:textId="77777777" w:rsidR="002E3FE5" w:rsidRPr="00B57B6A" w:rsidRDefault="002E3FE5"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As defined by article 1 of the Convention Against Torture (CAT), torture is:</w:t>
      </w:r>
    </w:p>
    <w:p w14:paraId="0DF08F62" w14:textId="4094C7D8" w:rsidR="002E3FE5" w:rsidRPr="00B57B6A" w:rsidRDefault="00C53FC8" w:rsidP="00B57B6A">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2F3FB5">
        <w:rPr>
          <w:rFonts w:ascii="Times New Roman" w:hAnsi="Times New Roman" w:cs="Times New Roman"/>
          <w:sz w:val="24"/>
          <w:szCs w:val="24"/>
        </w:rPr>
        <w:t>A</w:t>
      </w:r>
      <w:r>
        <w:rPr>
          <w:rFonts w:ascii="Times New Roman" w:hAnsi="Times New Roman" w:cs="Times New Roman"/>
          <w:sz w:val="24"/>
          <w:szCs w:val="24"/>
        </w:rPr>
        <w:t>]</w:t>
      </w:r>
      <w:r w:rsidR="002E3FE5" w:rsidRPr="00B57B6A">
        <w:rPr>
          <w:rFonts w:ascii="Times New Roman" w:hAnsi="Times New Roman" w:cs="Times New Roman"/>
          <w:sz w:val="24"/>
          <w:szCs w:val="24"/>
        </w:rPr>
        <w:t>ny act by which severe pain and suffering, whether physical or mental, is intentionally inflicted on a person for such purposes as obtaining from him or a third person information or a confession, punishing him … or intimidating or coercing him or a third person, or for any reason based on discrimination of any kind, which such pain or suffering is inflicted by or at the instigation or with the consent or acquiescence of a public official or other person acting in an official capacity.</w:t>
      </w:r>
      <w:r w:rsidR="002E3FE5" w:rsidRPr="00B57B6A">
        <w:rPr>
          <w:rStyle w:val="FootnoteReference"/>
          <w:rFonts w:ascii="Times New Roman" w:hAnsi="Times New Roman" w:cs="Times New Roman"/>
          <w:sz w:val="24"/>
          <w:szCs w:val="24"/>
        </w:rPr>
        <w:footnoteReference w:id="83"/>
      </w:r>
    </w:p>
    <w:p w14:paraId="60B94A3D" w14:textId="3C9B06D8" w:rsidR="002E3FE5" w:rsidRPr="00B57B6A" w:rsidRDefault="002E3FE5"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For a practice to constitute torture, it must meet each of CAT’s four elements (1) severe mental or physical pain (2) intentionally inflicted (3) for a purpose (4) by an act or omission under government authority. Where a practice does not rise to the level of torture – but</w:t>
      </w:r>
      <w:r w:rsidR="00FB3988">
        <w:rPr>
          <w:rFonts w:ascii="Times New Roman" w:hAnsi="Times New Roman" w:cs="Times New Roman"/>
          <w:sz w:val="24"/>
          <w:szCs w:val="24"/>
        </w:rPr>
        <w:t xml:space="preserve"> nevertheless</w:t>
      </w:r>
      <w:r w:rsidRPr="00B57B6A">
        <w:rPr>
          <w:rFonts w:ascii="Times New Roman" w:hAnsi="Times New Roman" w:cs="Times New Roman"/>
          <w:sz w:val="24"/>
          <w:szCs w:val="24"/>
        </w:rPr>
        <w:t xml:space="preserve"> </w:t>
      </w:r>
      <w:r w:rsidRPr="00B57B6A">
        <w:rPr>
          <w:rFonts w:ascii="Times New Roman" w:hAnsi="Times New Roman" w:cs="Times New Roman"/>
          <w:sz w:val="24"/>
          <w:szCs w:val="24"/>
        </w:rPr>
        <w:lastRenderedPageBreak/>
        <w:t>inflicts severe pain or suffering</w:t>
      </w:r>
      <w:r w:rsidR="00FB3988">
        <w:rPr>
          <w:rFonts w:ascii="Times New Roman" w:hAnsi="Times New Roman" w:cs="Times New Roman"/>
          <w:sz w:val="24"/>
          <w:szCs w:val="24"/>
        </w:rPr>
        <w:t xml:space="preserve"> – </w:t>
      </w:r>
      <w:r w:rsidRPr="00B57B6A">
        <w:rPr>
          <w:rFonts w:ascii="Times New Roman" w:hAnsi="Times New Roman" w:cs="Times New Roman"/>
          <w:sz w:val="24"/>
          <w:szCs w:val="24"/>
        </w:rPr>
        <w:t>it may still constitute “cruel, inhuman or degrading treatment or punishment” under article 16 of CAT.  Together</w:t>
      </w:r>
      <w:r w:rsidR="00FB3988">
        <w:rPr>
          <w:rFonts w:ascii="Times New Roman" w:hAnsi="Times New Roman" w:cs="Times New Roman"/>
          <w:sz w:val="24"/>
          <w:szCs w:val="24"/>
        </w:rPr>
        <w:t>,</w:t>
      </w:r>
      <w:r w:rsidRPr="00B57B6A">
        <w:rPr>
          <w:rFonts w:ascii="Times New Roman" w:hAnsi="Times New Roman" w:cs="Times New Roman"/>
          <w:sz w:val="24"/>
          <w:szCs w:val="24"/>
        </w:rPr>
        <w:t xml:space="preserve"> these practices</w:t>
      </w:r>
      <w:r w:rsidR="00FB3988">
        <w:rPr>
          <w:rFonts w:ascii="Times New Roman" w:hAnsi="Times New Roman" w:cs="Times New Roman"/>
          <w:sz w:val="24"/>
          <w:szCs w:val="24"/>
        </w:rPr>
        <w:t xml:space="preserve"> are</w:t>
      </w:r>
      <w:r w:rsidRPr="00B57B6A">
        <w:rPr>
          <w:rFonts w:ascii="Times New Roman" w:hAnsi="Times New Roman" w:cs="Times New Roman"/>
          <w:sz w:val="24"/>
          <w:szCs w:val="24"/>
        </w:rPr>
        <w:t xml:space="preserve"> all prohibited under article 3 of the International Covenant on Civil and Political Rights (ICCPR) and other conventions, are often referred to as “ill-treatment or torture.” </w:t>
      </w:r>
    </w:p>
    <w:p w14:paraId="3F61E35F" w14:textId="6CD687C5" w:rsidR="002E3FE5" w:rsidRPr="00B57B6A" w:rsidRDefault="002E3FE5"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While the protection against torture has long been applied to situations of juvenile justice and conditions within institutions (including medical and psychiatric facilities, as well as institutions for children),</w:t>
      </w:r>
      <w:r w:rsidRPr="00B57B6A">
        <w:rPr>
          <w:rStyle w:val="FootnoteReference"/>
          <w:rFonts w:ascii="Times New Roman" w:hAnsi="Times New Roman" w:cs="Times New Roman"/>
          <w:sz w:val="24"/>
          <w:szCs w:val="24"/>
        </w:rPr>
        <w:t xml:space="preserve"> </w:t>
      </w:r>
      <w:r w:rsidRPr="00B57B6A">
        <w:rPr>
          <w:rStyle w:val="FootnoteReference"/>
          <w:rFonts w:ascii="Times New Roman" w:hAnsi="Times New Roman" w:cs="Times New Roman"/>
          <w:sz w:val="24"/>
          <w:szCs w:val="24"/>
        </w:rPr>
        <w:footnoteReference w:id="84"/>
      </w:r>
      <w:r w:rsidRPr="00B57B6A">
        <w:rPr>
          <w:rFonts w:ascii="Times New Roman" w:hAnsi="Times New Roman" w:cs="Times New Roman"/>
          <w:sz w:val="24"/>
          <w:szCs w:val="24"/>
        </w:rPr>
        <w:t xml:space="preserve"> </w:t>
      </w:r>
      <w:r w:rsidR="00F467E9" w:rsidRPr="00B57B6A">
        <w:rPr>
          <w:rFonts w:ascii="Times New Roman" w:hAnsi="Times New Roman" w:cs="Times New Roman"/>
          <w:sz w:val="24"/>
          <w:szCs w:val="24"/>
        </w:rPr>
        <w:t>Méndez</w:t>
      </w:r>
      <w:r w:rsidRPr="00B57B6A">
        <w:rPr>
          <w:rFonts w:ascii="Times New Roman" w:hAnsi="Times New Roman" w:cs="Times New Roman"/>
          <w:sz w:val="24"/>
          <w:szCs w:val="24"/>
        </w:rPr>
        <w:t>’</w:t>
      </w:r>
      <w:r w:rsidR="00F467E9">
        <w:rPr>
          <w:rFonts w:ascii="Times New Roman" w:hAnsi="Times New Roman" w:cs="Times New Roman"/>
          <w:sz w:val="24"/>
          <w:szCs w:val="24"/>
        </w:rPr>
        <w:t>s</w:t>
      </w:r>
      <w:r w:rsidRPr="00B57B6A">
        <w:rPr>
          <w:rFonts w:ascii="Times New Roman" w:hAnsi="Times New Roman" w:cs="Times New Roman"/>
          <w:sz w:val="24"/>
          <w:szCs w:val="24"/>
        </w:rPr>
        <w:t xml:space="preserve"> call to restrict placement to prevent torture brings a new focus to the prevention of torture. The Special Rapporteur on Torture has emphasized that the</w:t>
      </w:r>
      <w:r w:rsidR="006F072C">
        <w:rPr>
          <w:rFonts w:ascii="Times New Roman" w:hAnsi="Times New Roman" w:cs="Times New Roman"/>
          <w:sz w:val="24"/>
          <w:szCs w:val="24"/>
        </w:rPr>
        <w:t xml:space="preserve"> international legal</w:t>
      </w:r>
      <w:r w:rsidRPr="00B57B6A">
        <w:rPr>
          <w:rFonts w:ascii="Times New Roman" w:hAnsi="Times New Roman" w:cs="Times New Roman"/>
          <w:sz w:val="24"/>
          <w:szCs w:val="24"/>
        </w:rPr>
        <w:t xml:space="preserve"> </w:t>
      </w:r>
      <w:r w:rsidR="006F072C" w:rsidRPr="00B57B6A">
        <w:rPr>
          <w:rFonts w:ascii="Times New Roman" w:hAnsi="Times New Roman" w:cs="Times New Roman"/>
          <w:sz w:val="24"/>
          <w:szCs w:val="24"/>
        </w:rPr>
        <w:t>pro</w:t>
      </w:r>
      <w:r w:rsidR="006F072C">
        <w:rPr>
          <w:rFonts w:ascii="Times New Roman" w:hAnsi="Times New Roman" w:cs="Times New Roman"/>
          <w:sz w:val="24"/>
          <w:szCs w:val="24"/>
        </w:rPr>
        <w:t>hibition</w:t>
      </w:r>
      <w:r w:rsidR="006F072C"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against torture </w:t>
      </w:r>
      <w:r w:rsidR="006F072C">
        <w:rPr>
          <w:rFonts w:ascii="Times New Roman" w:hAnsi="Times New Roman" w:cs="Times New Roman"/>
          <w:sz w:val="24"/>
          <w:szCs w:val="24"/>
        </w:rPr>
        <w:t>and</w:t>
      </w:r>
      <w:r w:rsidRPr="00B57B6A">
        <w:rPr>
          <w:rFonts w:ascii="Times New Roman" w:hAnsi="Times New Roman" w:cs="Times New Roman"/>
          <w:sz w:val="24"/>
          <w:szCs w:val="24"/>
        </w:rPr>
        <w:t xml:space="preserve"> ill-treatment is universal, absolute, and non-derogable.</w:t>
      </w:r>
      <w:r w:rsidRPr="00B57B6A">
        <w:rPr>
          <w:rStyle w:val="FootnoteReference"/>
          <w:rFonts w:ascii="Times New Roman" w:hAnsi="Times New Roman" w:cs="Times New Roman"/>
          <w:sz w:val="24"/>
          <w:szCs w:val="24"/>
        </w:rPr>
        <w:footnoteReference w:id="85"/>
      </w:r>
      <w:r w:rsidRPr="00B57B6A">
        <w:rPr>
          <w:rFonts w:ascii="Times New Roman" w:hAnsi="Times New Roman" w:cs="Times New Roman"/>
          <w:sz w:val="24"/>
          <w:szCs w:val="24"/>
        </w:rPr>
        <w:t xml:space="preserve"> The protection is so fundamental that the Convention Against Torture (CAT) was adopted “to make more effective the struggle against torture”</w:t>
      </w:r>
      <w:r w:rsidRPr="00B57B6A">
        <w:rPr>
          <w:rStyle w:val="FootnoteReference"/>
          <w:rFonts w:ascii="Times New Roman" w:hAnsi="Times New Roman" w:cs="Times New Roman"/>
          <w:sz w:val="24"/>
          <w:szCs w:val="24"/>
        </w:rPr>
        <w:t xml:space="preserve"> </w:t>
      </w:r>
      <w:bookmarkStart w:id="45" w:name="_Ref464056757"/>
      <w:r w:rsidRPr="00B57B6A">
        <w:rPr>
          <w:rStyle w:val="FootnoteReference"/>
          <w:rFonts w:ascii="Times New Roman" w:hAnsi="Times New Roman" w:cs="Times New Roman"/>
          <w:sz w:val="24"/>
          <w:szCs w:val="24"/>
        </w:rPr>
        <w:footnoteReference w:id="86"/>
      </w:r>
      <w:bookmarkEnd w:id="45"/>
      <w:r w:rsidRPr="00B57B6A">
        <w:rPr>
          <w:rFonts w:ascii="Times New Roman" w:hAnsi="Times New Roman" w:cs="Times New Roman"/>
          <w:sz w:val="24"/>
          <w:szCs w:val="24"/>
        </w:rPr>
        <w:t xml:space="preserve"> by creating a framework to support its prevention and enforcement.</w:t>
      </w:r>
      <w:bookmarkStart w:id="46" w:name="_Ref336728459"/>
      <w:r w:rsidRPr="00B57B6A">
        <w:rPr>
          <w:rStyle w:val="FootnoteReference"/>
          <w:rFonts w:ascii="Times New Roman" w:hAnsi="Times New Roman" w:cs="Times New Roman"/>
          <w:sz w:val="24"/>
          <w:szCs w:val="24"/>
        </w:rPr>
        <w:footnoteReference w:id="87"/>
      </w:r>
      <w:bookmarkEnd w:id="46"/>
      <w:r w:rsidRPr="00B57B6A">
        <w:rPr>
          <w:rFonts w:ascii="Times New Roman" w:hAnsi="Times New Roman" w:cs="Times New Roman"/>
          <w:sz w:val="24"/>
          <w:szCs w:val="24"/>
        </w:rPr>
        <w:t xml:space="preserve"> </w:t>
      </w:r>
    </w:p>
    <w:p w14:paraId="295C8BDB" w14:textId="22625A65" w:rsidR="002E3FE5" w:rsidRPr="00B57B6A" w:rsidRDefault="002E3FE5"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One of the core roles of the Special Rapporteur is to make recommendations to governments on policies and practices that they should take to prevent torture. Article 2(1) of CAT requires governments to take preventative measures -- beyond banning torture itself -- to ensure that people are protected.</w:t>
      </w:r>
      <w:r w:rsidRPr="00B57B6A">
        <w:rPr>
          <w:rStyle w:val="FootnoteReference"/>
          <w:rFonts w:ascii="Times New Roman" w:hAnsi="Times New Roman" w:cs="Times New Roman"/>
          <w:sz w:val="24"/>
          <w:szCs w:val="24"/>
        </w:rPr>
        <w:t xml:space="preserve"> </w:t>
      </w:r>
      <w:bookmarkStart w:id="47" w:name="_Ref464126301"/>
      <w:r w:rsidRPr="00B57B6A">
        <w:rPr>
          <w:rStyle w:val="FootnoteReference"/>
          <w:rFonts w:ascii="Times New Roman" w:hAnsi="Times New Roman" w:cs="Times New Roman"/>
          <w:sz w:val="24"/>
          <w:szCs w:val="24"/>
        </w:rPr>
        <w:footnoteReference w:id="88"/>
      </w:r>
      <w:bookmarkEnd w:id="47"/>
      <w:r w:rsidRPr="00B57B6A">
        <w:rPr>
          <w:rFonts w:ascii="Times New Roman" w:hAnsi="Times New Roman" w:cs="Times New Roman"/>
          <w:sz w:val="24"/>
          <w:szCs w:val="24"/>
        </w:rPr>
        <w:t xml:space="preserve">  Governments must not only ban torture, they must adopt policies and programs necessary for its prevention.</w:t>
      </w:r>
      <w:r w:rsidRPr="00B57B6A">
        <w:rPr>
          <w:rStyle w:val="FootnoteReference"/>
          <w:rFonts w:ascii="Times New Roman" w:hAnsi="Times New Roman" w:cs="Times New Roman"/>
          <w:sz w:val="24"/>
          <w:szCs w:val="24"/>
        </w:rPr>
        <w:footnoteReference w:id="89"/>
      </w:r>
      <w:r w:rsidRPr="00B57B6A">
        <w:rPr>
          <w:rFonts w:ascii="Times New Roman" w:hAnsi="Times New Roman" w:cs="Times New Roman"/>
          <w:sz w:val="24"/>
          <w:szCs w:val="24"/>
        </w:rPr>
        <w:t xml:space="preserve"> While the prohibition of torture or ill-treatment only applies to governments, General Comment 2 makes clear that governments are responsible for regulating and protecting rights in all “contexts where the failure of the State to intervene encourages and enhances the danger of privately inflicted harm.”</w:t>
      </w:r>
      <w:r w:rsidRPr="00B57B6A">
        <w:rPr>
          <w:rStyle w:val="FootnoteReference"/>
          <w:rFonts w:ascii="Times New Roman" w:hAnsi="Times New Roman" w:cs="Times New Roman"/>
          <w:sz w:val="24"/>
          <w:szCs w:val="24"/>
        </w:rPr>
        <w:footnoteReference w:id="90"/>
      </w:r>
      <w:r w:rsidRPr="00B57B6A">
        <w:rPr>
          <w:rFonts w:ascii="Times New Roman" w:hAnsi="Times New Roman" w:cs="Times New Roman"/>
          <w:sz w:val="24"/>
          <w:szCs w:val="24"/>
        </w:rPr>
        <w:t xml:space="preserve"> </w:t>
      </w:r>
    </w:p>
    <w:p w14:paraId="5E6E09F4" w14:textId="77777777" w:rsidR="002E3FE5" w:rsidRPr="00B57B6A" w:rsidRDefault="002E3FE5"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As the Independent Expert to the UN Committee Against Torture, Felice Gaer, has pointed out:</w:t>
      </w:r>
    </w:p>
    <w:p w14:paraId="3E80B4BA" w14:textId="53DDFC48" w:rsidR="002E3FE5" w:rsidRPr="00B57B6A" w:rsidRDefault="008C7554" w:rsidP="00B57B6A">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[P]</w:t>
      </w:r>
      <w:r w:rsidR="002E3FE5" w:rsidRPr="00B57B6A">
        <w:rPr>
          <w:rFonts w:ascii="Times New Roman" w:hAnsi="Times New Roman" w:cs="Times New Roman"/>
          <w:sz w:val="24"/>
          <w:szCs w:val="24"/>
        </w:rPr>
        <w:t>reventative measures are not limited to items enumerated in the Convention or even the General Comment,</w:t>
      </w:r>
      <w:r w:rsidR="00A22C3A">
        <w:rPr>
          <w:rFonts w:ascii="Times New Roman" w:hAnsi="Times New Roman" w:cs="Times New Roman"/>
          <w:sz w:val="24"/>
          <w:szCs w:val="24"/>
        </w:rPr>
        <w:t xml:space="preserve"> [and]</w:t>
      </w:r>
      <w:r w:rsidR="002E3FE5" w:rsidRPr="00B57B6A">
        <w:rPr>
          <w:rFonts w:ascii="Times New Roman" w:hAnsi="Times New Roman" w:cs="Times New Roman"/>
          <w:sz w:val="24"/>
          <w:szCs w:val="24"/>
        </w:rPr>
        <w:t xml:space="preserve"> the Committee [Against Torture] calls on States to reevaluate preventative measures for their effectiveness and to revise and replace them as needed. Thus, as technology evolves, new methods of prevention may be discovered…</w:t>
      </w:r>
      <w:bookmarkStart w:id="48" w:name="_Ref333154462"/>
      <w:r w:rsidR="002E3FE5" w:rsidRPr="00B57B6A">
        <w:rPr>
          <w:rStyle w:val="FootnoteReference"/>
          <w:rFonts w:ascii="Times New Roman" w:hAnsi="Times New Roman" w:cs="Times New Roman"/>
          <w:sz w:val="24"/>
          <w:szCs w:val="24"/>
        </w:rPr>
        <w:footnoteReference w:id="91"/>
      </w:r>
      <w:bookmarkEnd w:id="48"/>
      <w:r w:rsidR="002E3FE5" w:rsidRPr="00B57B6A">
        <w:rPr>
          <w:rFonts w:ascii="Times New Roman" w:hAnsi="Times New Roman" w:cs="Times New Roman"/>
          <w:sz w:val="24"/>
          <w:szCs w:val="24"/>
        </w:rPr>
        <w:t xml:space="preserve"> </w:t>
      </w:r>
    </w:p>
    <w:p w14:paraId="6AA20A4D" w14:textId="77777777" w:rsidR="002E3FE5" w:rsidRPr="00B57B6A" w:rsidRDefault="002E3FE5" w:rsidP="00B57B6A">
      <w:pPr>
        <w:spacing w:after="0" w:line="240" w:lineRule="auto"/>
        <w:ind w:left="720" w:right="720"/>
        <w:jc w:val="both"/>
        <w:rPr>
          <w:rFonts w:ascii="Times New Roman" w:hAnsi="Times New Roman" w:cs="Times New Roman"/>
          <w:sz w:val="24"/>
          <w:szCs w:val="24"/>
        </w:rPr>
      </w:pPr>
    </w:p>
    <w:p w14:paraId="657217CB" w14:textId="06243B17" w:rsidR="002E3FE5" w:rsidRPr="00B57B6A" w:rsidRDefault="002E3FE5"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Much as new technology is taken into consideration in developing safeguards to prevent torture, so must new research </w:t>
      </w:r>
      <w:r w:rsidR="00FA2691">
        <w:rPr>
          <w:rFonts w:ascii="Times New Roman" w:hAnsi="Times New Roman" w:cs="Times New Roman"/>
          <w:sz w:val="24"/>
          <w:szCs w:val="24"/>
        </w:rPr>
        <w:t xml:space="preserve">and findings </w:t>
      </w:r>
      <w:r w:rsidRPr="00B57B6A">
        <w:rPr>
          <w:rFonts w:ascii="Times New Roman" w:hAnsi="Times New Roman" w:cs="Times New Roman"/>
          <w:sz w:val="24"/>
          <w:szCs w:val="24"/>
        </w:rPr>
        <w:t xml:space="preserve">about the impact of orphanages and congregate care on children. New understandings of disability rights and measures needed to protect against discrimination should also be taken into consideration.  </w:t>
      </w:r>
    </w:p>
    <w:p w14:paraId="6AF8C2B5" w14:textId="3232AAEF" w:rsidR="00553A61" w:rsidRPr="00B57B6A" w:rsidRDefault="002E3FE5"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Méndez Report does not say that detention of a child, </w:t>
      </w:r>
      <w:r w:rsidRPr="00B57B6A">
        <w:rPr>
          <w:rFonts w:ascii="Times New Roman" w:hAnsi="Times New Roman" w:cs="Times New Roman"/>
          <w:i/>
          <w:sz w:val="24"/>
          <w:szCs w:val="24"/>
        </w:rPr>
        <w:t>per se</w:t>
      </w:r>
      <w:r w:rsidRPr="00B57B6A">
        <w:rPr>
          <w:rFonts w:ascii="Times New Roman" w:hAnsi="Times New Roman" w:cs="Times New Roman"/>
          <w:sz w:val="24"/>
          <w:szCs w:val="24"/>
        </w:rPr>
        <w:t xml:space="preserve">, </w:t>
      </w:r>
      <w:r w:rsidR="005D1D77">
        <w:rPr>
          <w:rFonts w:ascii="Times New Roman" w:hAnsi="Times New Roman" w:cs="Times New Roman"/>
          <w:sz w:val="24"/>
          <w:szCs w:val="24"/>
        </w:rPr>
        <w:t>can constitute</w:t>
      </w:r>
      <w:r w:rsidRPr="00B57B6A">
        <w:rPr>
          <w:rFonts w:ascii="Times New Roman" w:hAnsi="Times New Roman" w:cs="Times New Roman"/>
          <w:sz w:val="24"/>
          <w:szCs w:val="24"/>
        </w:rPr>
        <w:t xml:space="preserve"> torture or ill-treatment</w:t>
      </w:r>
      <w:r w:rsidR="005D1D77">
        <w:rPr>
          <w:rFonts w:ascii="Times New Roman" w:hAnsi="Times New Roman" w:cs="Times New Roman"/>
          <w:sz w:val="24"/>
          <w:szCs w:val="24"/>
        </w:rPr>
        <w:t>. But the Special Rapporteur’s earlier reports support this conclusion</w:t>
      </w:r>
      <w:r w:rsidRPr="00B57B6A">
        <w:rPr>
          <w:rFonts w:ascii="Times New Roman" w:hAnsi="Times New Roman" w:cs="Times New Roman"/>
          <w:sz w:val="24"/>
          <w:szCs w:val="24"/>
        </w:rPr>
        <w:t>. In his earlier report on torture in the c</w:t>
      </w:r>
      <w:r w:rsidR="005D1D77">
        <w:rPr>
          <w:rFonts w:ascii="Times New Roman" w:hAnsi="Times New Roman" w:cs="Times New Roman"/>
          <w:sz w:val="24"/>
          <w:szCs w:val="24"/>
        </w:rPr>
        <w:t xml:space="preserve">ontext of health care, </w:t>
      </w:r>
      <w:r w:rsidRPr="00B57B6A">
        <w:rPr>
          <w:rFonts w:ascii="Times New Roman" w:hAnsi="Times New Roman" w:cs="Times New Roman"/>
          <w:sz w:val="24"/>
          <w:szCs w:val="24"/>
        </w:rPr>
        <w:t>Special Rapporteur on Torture Juan Méndez notes the</w:t>
      </w:r>
      <w:r w:rsidR="00B1134E">
        <w:rPr>
          <w:rFonts w:ascii="Times New Roman" w:hAnsi="Times New Roman" w:cs="Times New Roman"/>
          <w:sz w:val="24"/>
          <w:szCs w:val="24"/>
        </w:rPr>
        <w:t xml:space="preserve"> CRPD</w:t>
      </w:r>
      <w:r w:rsidRPr="00B57B6A">
        <w:rPr>
          <w:rFonts w:ascii="Times New Roman" w:hAnsi="Times New Roman" w:cs="Times New Roman"/>
          <w:sz w:val="24"/>
          <w:szCs w:val="24"/>
        </w:rPr>
        <w:t xml:space="preserve"> prohibition </w:t>
      </w:r>
      <w:r w:rsidR="00B1134E">
        <w:rPr>
          <w:rFonts w:ascii="Times New Roman" w:hAnsi="Times New Roman" w:cs="Times New Roman"/>
          <w:sz w:val="24"/>
          <w:szCs w:val="24"/>
        </w:rPr>
        <w:t>of</w:t>
      </w:r>
      <w:r w:rsidRPr="00B57B6A">
        <w:rPr>
          <w:rFonts w:ascii="Times New Roman" w:hAnsi="Times New Roman" w:cs="Times New Roman"/>
          <w:sz w:val="24"/>
          <w:szCs w:val="24"/>
        </w:rPr>
        <w:t xml:space="preserve"> detention on the basis of disability.</w:t>
      </w:r>
      <w:bookmarkStart w:id="49" w:name="_Ref471315098"/>
      <w:r w:rsidRPr="00B57B6A">
        <w:rPr>
          <w:rStyle w:val="FootnoteReference"/>
          <w:rFonts w:ascii="Times New Roman" w:hAnsi="Times New Roman" w:cs="Times New Roman"/>
          <w:sz w:val="24"/>
          <w:szCs w:val="24"/>
        </w:rPr>
        <w:footnoteReference w:id="92"/>
      </w:r>
      <w:bookmarkEnd w:id="49"/>
      <w:r w:rsidRPr="00B57B6A">
        <w:rPr>
          <w:rFonts w:ascii="Times New Roman" w:hAnsi="Times New Roman" w:cs="Times New Roman"/>
          <w:sz w:val="24"/>
          <w:szCs w:val="24"/>
        </w:rPr>
        <w:t xml:space="preserve"> In this context, the Special Rapporteur says that the emotional pain and suffering caused by “segregation from family and community” could rise to the level of ill-treatment or torture.</w:t>
      </w:r>
      <w:bookmarkStart w:id="50" w:name="_Ref464056845"/>
      <w:r w:rsidRPr="00B57B6A">
        <w:rPr>
          <w:rStyle w:val="FootnoteReference"/>
          <w:rFonts w:ascii="Times New Roman" w:hAnsi="Times New Roman" w:cs="Times New Roman"/>
          <w:sz w:val="24"/>
          <w:szCs w:val="24"/>
        </w:rPr>
        <w:t xml:space="preserve"> </w:t>
      </w:r>
      <w:r w:rsidRPr="00B57B6A">
        <w:rPr>
          <w:rStyle w:val="FootnoteReference"/>
          <w:rFonts w:ascii="Times New Roman" w:hAnsi="Times New Roman" w:cs="Times New Roman"/>
          <w:sz w:val="24"/>
          <w:szCs w:val="24"/>
        </w:rPr>
        <w:footnoteReference w:id="93"/>
      </w:r>
      <w:bookmarkEnd w:id="50"/>
      <w:r w:rsidRPr="00B57B6A">
        <w:rPr>
          <w:rFonts w:ascii="Times New Roman" w:hAnsi="Times New Roman" w:cs="Times New Roman"/>
          <w:sz w:val="24"/>
          <w:szCs w:val="24"/>
        </w:rPr>
        <w:t xml:space="preserve"> To assess whether segregation meets the requisite severity to </w:t>
      </w:r>
      <w:r w:rsidR="00453ED0">
        <w:rPr>
          <w:rFonts w:ascii="Times New Roman" w:hAnsi="Times New Roman" w:cs="Times New Roman"/>
          <w:sz w:val="24"/>
          <w:szCs w:val="24"/>
        </w:rPr>
        <w:t xml:space="preserve">rise to the level of torture or ill-treatment, </w:t>
      </w:r>
      <w:r w:rsidRPr="00B57B6A">
        <w:rPr>
          <w:rFonts w:ascii="Times New Roman" w:hAnsi="Times New Roman" w:cs="Times New Roman"/>
          <w:sz w:val="24"/>
          <w:szCs w:val="24"/>
        </w:rPr>
        <w:t>“such factors as fear and anxiety produced by indefinite detention” should be taken into account.</w:t>
      </w:r>
      <w:r w:rsidRPr="00B57B6A">
        <w:rPr>
          <w:rStyle w:val="FootnoteReference"/>
          <w:rFonts w:ascii="Times New Roman" w:hAnsi="Times New Roman" w:cs="Times New Roman"/>
          <w:sz w:val="24"/>
          <w:szCs w:val="24"/>
        </w:rPr>
        <w:footnoteReference w:id="94"/>
      </w:r>
      <w:r w:rsidRPr="00B57B6A">
        <w:rPr>
          <w:rFonts w:ascii="Times New Roman" w:hAnsi="Times New Roman" w:cs="Times New Roman"/>
          <w:sz w:val="24"/>
          <w:szCs w:val="24"/>
        </w:rPr>
        <w:t xml:space="preserve">  </w:t>
      </w:r>
      <w:r w:rsidR="007A250B" w:rsidRPr="00B57B6A">
        <w:rPr>
          <w:rFonts w:ascii="Times New Roman" w:hAnsi="Times New Roman" w:cs="Times New Roman"/>
          <w:sz w:val="24"/>
          <w:szCs w:val="24"/>
        </w:rPr>
        <w:t>The trauma of separation from parents and extended family, compounded with the lack of understanding about his or her future, could certainly cause a child severe suffering as well as long-term emotional damage.</w:t>
      </w:r>
    </w:p>
    <w:p w14:paraId="7D3C2D3A" w14:textId="5A36A8FC" w:rsidR="00AE0C96" w:rsidRPr="00B57B6A" w:rsidRDefault="00721E9A" w:rsidP="00B57B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2E3FE5" w:rsidRPr="00B57B6A">
        <w:rPr>
          <w:rFonts w:ascii="Times New Roman" w:hAnsi="Times New Roman" w:cs="Times New Roman"/>
          <w:sz w:val="24"/>
          <w:szCs w:val="24"/>
        </w:rPr>
        <w:t xml:space="preserve">European Court </w:t>
      </w:r>
      <w:r w:rsidR="00553A61" w:rsidRPr="00B57B6A">
        <w:rPr>
          <w:rFonts w:ascii="Times New Roman" w:hAnsi="Times New Roman" w:cs="Times New Roman"/>
          <w:sz w:val="24"/>
          <w:szCs w:val="24"/>
        </w:rPr>
        <w:t>of Human Rights (ECHR)</w:t>
      </w:r>
      <w:r>
        <w:rPr>
          <w:rFonts w:ascii="Times New Roman" w:hAnsi="Times New Roman" w:cs="Times New Roman"/>
          <w:sz w:val="24"/>
          <w:szCs w:val="24"/>
        </w:rPr>
        <w:t xml:space="preserve"> has not yet adopted the same analysis as the UN Special Rapporteur on Torture</w:t>
      </w:r>
      <w:r w:rsidR="00553A61" w:rsidRPr="00B57B6A">
        <w:rPr>
          <w:rFonts w:ascii="Times New Roman" w:hAnsi="Times New Roman" w:cs="Times New Roman"/>
          <w:sz w:val="24"/>
          <w:szCs w:val="24"/>
        </w:rPr>
        <w:t>.</w:t>
      </w:r>
      <w:r>
        <w:rPr>
          <w:rFonts w:ascii="Times New Roman" w:hAnsi="Times New Roman" w:cs="Times New Roman"/>
          <w:sz w:val="24"/>
          <w:szCs w:val="24"/>
        </w:rPr>
        <w:t xml:space="preserve"> But </w:t>
      </w:r>
      <w:r w:rsidR="00951925">
        <w:rPr>
          <w:rFonts w:ascii="Times New Roman" w:hAnsi="Times New Roman" w:cs="Times New Roman"/>
          <w:sz w:val="24"/>
          <w:szCs w:val="24"/>
        </w:rPr>
        <w:t>t</w:t>
      </w:r>
      <w:r>
        <w:rPr>
          <w:rFonts w:ascii="Times New Roman" w:hAnsi="Times New Roman" w:cs="Times New Roman"/>
          <w:sz w:val="24"/>
          <w:szCs w:val="24"/>
        </w:rPr>
        <w:t xml:space="preserve">he Court </w:t>
      </w:r>
      <w:r w:rsidR="00951925">
        <w:rPr>
          <w:rFonts w:ascii="Times New Roman" w:hAnsi="Times New Roman" w:cs="Times New Roman"/>
          <w:sz w:val="24"/>
          <w:szCs w:val="24"/>
        </w:rPr>
        <w:t xml:space="preserve">appears to be </w:t>
      </w:r>
      <w:r>
        <w:rPr>
          <w:rFonts w:ascii="Times New Roman" w:hAnsi="Times New Roman" w:cs="Times New Roman"/>
          <w:sz w:val="24"/>
          <w:szCs w:val="24"/>
        </w:rPr>
        <w:t>moving in this direction.</w:t>
      </w:r>
      <w:r w:rsidR="00553A61" w:rsidRPr="00B57B6A">
        <w:rPr>
          <w:rFonts w:ascii="Times New Roman" w:hAnsi="Times New Roman" w:cs="Times New Roman"/>
          <w:sz w:val="24"/>
          <w:szCs w:val="24"/>
        </w:rPr>
        <w:t xml:space="preserve"> T</w:t>
      </w:r>
      <w:r w:rsidR="002E3FE5" w:rsidRPr="00B57B6A">
        <w:rPr>
          <w:rFonts w:ascii="Times New Roman" w:hAnsi="Times New Roman" w:cs="Times New Roman"/>
          <w:sz w:val="24"/>
          <w:szCs w:val="24"/>
        </w:rPr>
        <w:t>he ECHR has accepted that poor conditions wi</w:t>
      </w:r>
      <w:r w:rsidR="00553A61" w:rsidRPr="00B57B6A">
        <w:rPr>
          <w:rFonts w:ascii="Times New Roman" w:hAnsi="Times New Roman" w:cs="Times New Roman"/>
          <w:sz w:val="24"/>
          <w:szCs w:val="24"/>
        </w:rPr>
        <w:t>thin institutions may violate Article 3 of the European Convention tha</w:t>
      </w:r>
      <w:r w:rsidR="008065AF" w:rsidRPr="00B57B6A">
        <w:rPr>
          <w:rFonts w:ascii="Times New Roman" w:hAnsi="Times New Roman" w:cs="Times New Roman"/>
          <w:sz w:val="24"/>
          <w:szCs w:val="24"/>
        </w:rPr>
        <w:t>t bans torture and ill-treatment.</w:t>
      </w:r>
      <w:r w:rsidR="008065AF" w:rsidRPr="00B57B6A">
        <w:rPr>
          <w:rStyle w:val="FootnoteReference"/>
          <w:rFonts w:ascii="Times New Roman" w:hAnsi="Times New Roman" w:cs="Times New Roman"/>
          <w:sz w:val="24"/>
          <w:szCs w:val="24"/>
        </w:rPr>
        <w:footnoteReference w:id="95"/>
      </w:r>
      <w:r w:rsidR="008065AF" w:rsidRPr="00B57B6A">
        <w:rPr>
          <w:rFonts w:ascii="Times New Roman" w:hAnsi="Times New Roman" w:cs="Times New Roman"/>
          <w:sz w:val="24"/>
          <w:szCs w:val="24"/>
        </w:rPr>
        <w:t xml:space="preserve"> B</w:t>
      </w:r>
      <w:r w:rsidR="00553A61" w:rsidRPr="00B57B6A">
        <w:rPr>
          <w:rFonts w:ascii="Times New Roman" w:hAnsi="Times New Roman" w:cs="Times New Roman"/>
          <w:sz w:val="24"/>
          <w:szCs w:val="24"/>
        </w:rPr>
        <w:t>ut</w:t>
      </w:r>
      <w:r>
        <w:rPr>
          <w:rFonts w:ascii="Times New Roman" w:hAnsi="Times New Roman" w:cs="Times New Roman"/>
          <w:sz w:val="24"/>
          <w:szCs w:val="24"/>
        </w:rPr>
        <w:t>, in a case decided before the entry into force of the CRPD,</w:t>
      </w:r>
      <w:r w:rsidR="00553A61" w:rsidRPr="00B57B6A">
        <w:rPr>
          <w:rFonts w:ascii="Times New Roman" w:hAnsi="Times New Roman" w:cs="Times New Roman"/>
          <w:sz w:val="24"/>
          <w:szCs w:val="24"/>
        </w:rPr>
        <w:t xml:space="preserve"> the </w:t>
      </w:r>
      <w:r>
        <w:rPr>
          <w:rFonts w:ascii="Times New Roman" w:hAnsi="Times New Roman" w:cs="Times New Roman"/>
          <w:sz w:val="24"/>
          <w:szCs w:val="24"/>
        </w:rPr>
        <w:t>European Court</w:t>
      </w:r>
      <w:r w:rsidR="00553A61" w:rsidRPr="00B57B6A">
        <w:rPr>
          <w:rFonts w:ascii="Times New Roman" w:hAnsi="Times New Roman" w:cs="Times New Roman"/>
          <w:sz w:val="24"/>
          <w:szCs w:val="24"/>
        </w:rPr>
        <w:t xml:space="preserve"> also ruled</w:t>
      </w:r>
      <w:r w:rsidR="002E3FE5" w:rsidRPr="00B57B6A">
        <w:rPr>
          <w:rFonts w:ascii="Times New Roman" w:hAnsi="Times New Roman" w:cs="Times New Roman"/>
          <w:sz w:val="24"/>
          <w:szCs w:val="24"/>
        </w:rPr>
        <w:t xml:space="preserve"> that the </w:t>
      </w:r>
      <w:r w:rsidR="008065AF" w:rsidRPr="00B57B6A">
        <w:rPr>
          <w:rFonts w:ascii="Times New Roman" w:hAnsi="Times New Roman" w:cs="Times New Roman"/>
          <w:sz w:val="24"/>
          <w:szCs w:val="24"/>
        </w:rPr>
        <w:t>“unavoidable level of suffering inherent in detention”</w:t>
      </w:r>
      <w:r w:rsidR="002E3FE5" w:rsidRPr="00B57B6A">
        <w:rPr>
          <w:rFonts w:ascii="Times New Roman" w:hAnsi="Times New Roman" w:cs="Times New Roman"/>
          <w:sz w:val="24"/>
          <w:szCs w:val="24"/>
        </w:rPr>
        <w:t xml:space="preserve"> does not factor into the analysis</w:t>
      </w:r>
      <w:r w:rsidR="00553A61" w:rsidRPr="00B57B6A">
        <w:rPr>
          <w:rFonts w:ascii="Times New Roman" w:hAnsi="Times New Roman" w:cs="Times New Roman"/>
          <w:sz w:val="24"/>
          <w:szCs w:val="24"/>
        </w:rPr>
        <w:t>.</w:t>
      </w:r>
      <w:bookmarkStart w:id="51" w:name="_Ref466639116"/>
      <w:r w:rsidR="004C27BC" w:rsidRPr="00B57B6A">
        <w:rPr>
          <w:rStyle w:val="FootnoteReference"/>
          <w:rFonts w:ascii="Times New Roman" w:hAnsi="Times New Roman" w:cs="Times New Roman"/>
          <w:sz w:val="24"/>
          <w:szCs w:val="24"/>
        </w:rPr>
        <w:footnoteReference w:id="96"/>
      </w:r>
      <w:bookmarkEnd w:id="51"/>
      <w:r>
        <w:rPr>
          <w:rFonts w:ascii="Times New Roman" w:hAnsi="Times New Roman" w:cs="Times New Roman"/>
          <w:sz w:val="24"/>
          <w:szCs w:val="24"/>
        </w:rPr>
        <w:t xml:space="preserve"> In </w:t>
      </w:r>
      <w:r w:rsidR="00553A61" w:rsidRPr="00B57B6A">
        <w:rPr>
          <w:rFonts w:ascii="Times New Roman" w:hAnsi="Times New Roman" w:cs="Times New Roman"/>
          <w:i/>
          <w:sz w:val="24"/>
          <w:szCs w:val="24"/>
        </w:rPr>
        <w:t xml:space="preserve">Stanev v. Bulgaria, </w:t>
      </w:r>
      <w:r w:rsidR="00553A61" w:rsidRPr="00B57B6A">
        <w:rPr>
          <w:rFonts w:ascii="Times New Roman" w:hAnsi="Times New Roman" w:cs="Times New Roman"/>
          <w:sz w:val="24"/>
          <w:szCs w:val="24"/>
        </w:rPr>
        <w:t xml:space="preserve">the Court considered the case of </w:t>
      </w:r>
      <w:r w:rsidR="00AE0C96" w:rsidRPr="00B57B6A">
        <w:rPr>
          <w:rFonts w:ascii="Times New Roman" w:hAnsi="Times New Roman" w:cs="Times New Roman"/>
          <w:sz w:val="24"/>
          <w:szCs w:val="24"/>
        </w:rPr>
        <w:t>Rusi Stanev, a 48</w:t>
      </w:r>
      <w:r w:rsidR="002F4AB2" w:rsidRPr="00B57B6A">
        <w:rPr>
          <w:rFonts w:ascii="Times New Roman" w:hAnsi="Times New Roman" w:cs="Times New Roman"/>
          <w:sz w:val="24"/>
          <w:szCs w:val="24"/>
        </w:rPr>
        <w:t xml:space="preserve"> year-old </w:t>
      </w:r>
      <w:r w:rsidR="00553A61" w:rsidRPr="00B57B6A">
        <w:rPr>
          <w:rFonts w:ascii="Times New Roman" w:hAnsi="Times New Roman" w:cs="Times New Roman"/>
          <w:sz w:val="24"/>
          <w:szCs w:val="24"/>
        </w:rPr>
        <w:t xml:space="preserve">man </w:t>
      </w:r>
      <w:r w:rsidR="002F4AB2" w:rsidRPr="00B57B6A">
        <w:rPr>
          <w:rFonts w:ascii="Times New Roman" w:hAnsi="Times New Roman" w:cs="Times New Roman"/>
          <w:sz w:val="24"/>
          <w:szCs w:val="24"/>
        </w:rPr>
        <w:t>diagnosed with schizophrenia</w:t>
      </w:r>
      <w:r w:rsidR="00AE0C96" w:rsidRPr="00B57B6A">
        <w:rPr>
          <w:rFonts w:ascii="Times New Roman" w:hAnsi="Times New Roman" w:cs="Times New Roman"/>
          <w:sz w:val="24"/>
          <w:szCs w:val="24"/>
        </w:rPr>
        <w:t xml:space="preserve"> and placed under guardianship</w:t>
      </w:r>
      <w:r w:rsidR="00E80338" w:rsidRPr="00B57B6A">
        <w:rPr>
          <w:rFonts w:ascii="Times New Roman" w:hAnsi="Times New Roman" w:cs="Times New Roman"/>
          <w:sz w:val="24"/>
          <w:szCs w:val="24"/>
        </w:rPr>
        <w:t xml:space="preserve"> (he was at least 57 when the European Court issued its decision on his case)</w:t>
      </w:r>
      <w:r w:rsidR="00AE0C96" w:rsidRPr="00B57B6A">
        <w:rPr>
          <w:rFonts w:ascii="Times New Roman" w:hAnsi="Times New Roman" w:cs="Times New Roman"/>
          <w:sz w:val="24"/>
          <w:szCs w:val="24"/>
        </w:rPr>
        <w:t>.  The guardian, who he had never met, placed him in the</w:t>
      </w:r>
      <w:r w:rsidR="00553A61" w:rsidRPr="00B57B6A">
        <w:rPr>
          <w:rFonts w:ascii="Times New Roman" w:hAnsi="Times New Roman" w:cs="Times New Roman"/>
          <w:sz w:val="24"/>
          <w:szCs w:val="24"/>
        </w:rPr>
        <w:t xml:space="preserve"> </w:t>
      </w:r>
      <w:r w:rsidR="00530A5F" w:rsidRPr="00B57B6A">
        <w:rPr>
          <w:rFonts w:ascii="Times New Roman" w:hAnsi="Times New Roman" w:cs="Times New Roman"/>
          <w:sz w:val="24"/>
          <w:szCs w:val="24"/>
        </w:rPr>
        <w:t xml:space="preserve">remote </w:t>
      </w:r>
      <w:r w:rsidR="002F4AB2" w:rsidRPr="00B57B6A">
        <w:rPr>
          <w:rFonts w:ascii="Times New Roman" w:hAnsi="Times New Roman" w:cs="Times New Roman"/>
          <w:sz w:val="24"/>
          <w:szCs w:val="24"/>
        </w:rPr>
        <w:t xml:space="preserve">Pastra </w:t>
      </w:r>
      <w:r w:rsidR="00553A61" w:rsidRPr="00B57B6A">
        <w:rPr>
          <w:rFonts w:ascii="Times New Roman" w:hAnsi="Times New Roman" w:cs="Times New Roman"/>
          <w:sz w:val="24"/>
          <w:szCs w:val="24"/>
        </w:rPr>
        <w:t>social care home</w:t>
      </w:r>
      <w:r w:rsidR="00AE0C96" w:rsidRPr="00B57B6A">
        <w:rPr>
          <w:rFonts w:ascii="Times New Roman" w:hAnsi="Times New Roman" w:cs="Times New Roman"/>
          <w:sz w:val="24"/>
          <w:szCs w:val="24"/>
        </w:rPr>
        <w:t xml:space="preserve">, in theory, to advance his care. Mr. Stanev was kept for more </w:t>
      </w:r>
      <w:r w:rsidR="002F4AB2" w:rsidRPr="00B57B6A">
        <w:rPr>
          <w:rFonts w:ascii="Times New Roman" w:hAnsi="Times New Roman" w:cs="Times New Roman"/>
          <w:sz w:val="24"/>
          <w:szCs w:val="24"/>
        </w:rPr>
        <w:t xml:space="preserve">than eight </w:t>
      </w:r>
      <w:r w:rsidR="00553A61" w:rsidRPr="00B57B6A">
        <w:rPr>
          <w:rFonts w:ascii="Times New Roman" w:hAnsi="Times New Roman" w:cs="Times New Roman"/>
          <w:sz w:val="24"/>
          <w:szCs w:val="24"/>
        </w:rPr>
        <w:t>years in “dirty, decaying” and “unhygienic” conditions without adequate food or running water.</w:t>
      </w:r>
      <w:r w:rsidR="00553A61" w:rsidRPr="00B57B6A">
        <w:rPr>
          <w:rStyle w:val="FootnoteReference"/>
          <w:rFonts w:ascii="Times New Roman" w:hAnsi="Times New Roman" w:cs="Times New Roman"/>
          <w:sz w:val="24"/>
          <w:szCs w:val="24"/>
        </w:rPr>
        <w:footnoteReference w:id="97"/>
      </w:r>
      <w:r w:rsidR="00553A61" w:rsidRPr="00B57B6A">
        <w:rPr>
          <w:rFonts w:ascii="Times New Roman" w:hAnsi="Times New Roman" w:cs="Times New Roman"/>
          <w:sz w:val="24"/>
          <w:szCs w:val="24"/>
        </w:rPr>
        <w:t xml:space="preserve"> Detainees were only allowed access to an indoor bathroom once a week</w:t>
      </w:r>
      <w:r w:rsidR="00530A5F" w:rsidRPr="00B57B6A">
        <w:rPr>
          <w:rFonts w:ascii="Times New Roman" w:hAnsi="Times New Roman" w:cs="Times New Roman"/>
          <w:sz w:val="24"/>
          <w:szCs w:val="24"/>
        </w:rPr>
        <w:t>,</w:t>
      </w:r>
      <w:r w:rsidR="00530A5F" w:rsidRPr="00B57B6A">
        <w:rPr>
          <w:rStyle w:val="FootnoteReference"/>
          <w:rFonts w:ascii="Times New Roman" w:hAnsi="Times New Roman" w:cs="Times New Roman"/>
          <w:sz w:val="24"/>
          <w:szCs w:val="24"/>
        </w:rPr>
        <w:footnoteReference w:id="98"/>
      </w:r>
      <w:r w:rsidR="00530A5F" w:rsidRPr="00B57B6A">
        <w:rPr>
          <w:rFonts w:ascii="Times New Roman" w:hAnsi="Times New Roman" w:cs="Times New Roman"/>
          <w:sz w:val="24"/>
          <w:szCs w:val="24"/>
        </w:rPr>
        <w:t xml:space="preserve"> and temperatures were so cold that people were forced to sleep in their coats.</w:t>
      </w:r>
      <w:r w:rsidR="00530A5F" w:rsidRPr="00B57B6A">
        <w:rPr>
          <w:rStyle w:val="FootnoteReference"/>
          <w:rFonts w:ascii="Times New Roman" w:hAnsi="Times New Roman" w:cs="Times New Roman"/>
          <w:sz w:val="24"/>
          <w:szCs w:val="24"/>
        </w:rPr>
        <w:footnoteReference w:id="99"/>
      </w:r>
      <w:r w:rsidR="00530A5F" w:rsidRPr="00B57B6A">
        <w:rPr>
          <w:rFonts w:ascii="Times New Roman" w:hAnsi="Times New Roman" w:cs="Times New Roman"/>
          <w:sz w:val="24"/>
          <w:szCs w:val="24"/>
        </w:rPr>
        <w:t xml:space="preserve"> </w:t>
      </w:r>
      <w:r w:rsidR="002F4AB2" w:rsidRPr="00B57B6A">
        <w:rPr>
          <w:rFonts w:ascii="Times New Roman" w:hAnsi="Times New Roman" w:cs="Times New Roman"/>
          <w:sz w:val="24"/>
          <w:szCs w:val="24"/>
        </w:rPr>
        <w:t xml:space="preserve">BBC journalists who visited the facility reported that one in ten </w:t>
      </w:r>
      <w:r w:rsidR="002F4AB2" w:rsidRPr="00B57B6A">
        <w:rPr>
          <w:rFonts w:ascii="Times New Roman" w:hAnsi="Times New Roman" w:cs="Times New Roman"/>
          <w:sz w:val="24"/>
          <w:szCs w:val="24"/>
        </w:rPr>
        <w:lastRenderedPageBreak/>
        <w:t xml:space="preserve">residents died each year </w:t>
      </w:r>
      <w:r w:rsidR="00D14BF5">
        <w:rPr>
          <w:rFonts w:ascii="Times New Roman" w:hAnsi="Times New Roman" w:cs="Times New Roman"/>
          <w:sz w:val="24"/>
          <w:szCs w:val="24"/>
        </w:rPr>
        <w:t>due to the</w:t>
      </w:r>
      <w:r w:rsidR="002F4AB2" w:rsidRPr="00B57B6A">
        <w:rPr>
          <w:rFonts w:ascii="Times New Roman" w:hAnsi="Times New Roman" w:cs="Times New Roman"/>
          <w:sz w:val="24"/>
          <w:szCs w:val="24"/>
        </w:rPr>
        <w:t xml:space="preserve"> poor conditions.</w:t>
      </w:r>
      <w:r w:rsidR="002F4AB2" w:rsidRPr="00B57B6A">
        <w:rPr>
          <w:rStyle w:val="FootnoteReference"/>
          <w:rFonts w:ascii="Times New Roman" w:hAnsi="Times New Roman" w:cs="Times New Roman"/>
          <w:sz w:val="24"/>
          <w:szCs w:val="24"/>
        </w:rPr>
        <w:footnoteReference w:id="100"/>
      </w:r>
      <w:r w:rsidR="002F4AB2" w:rsidRPr="00B57B6A">
        <w:rPr>
          <w:rFonts w:ascii="Times New Roman" w:hAnsi="Times New Roman" w:cs="Times New Roman"/>
          <w:sz w:val="24"/>
          <w:szCs w:val="24"/>
        </w:rPr>
        <w:t xml:space="preserve"> </w:t>
      </w:r>
      <w:r w:rsidR="00AE0C96" w:rsidRPr="00B57B6A">
        <w:rPr>
          <w:rFonts w:ascii="Times New Roman" w:hAnsi="Times New Roman" w:cs="Times New Roman"/>
          <w:sz w:val="24"/>
          <w:szCs w:val="24"/>
        </w:rPr>
        <w:t>The Court found that Mr. Stanev was not dangerous</w:t>
      </w:r>
      <w:r w:rsidR="00901D7A" w:rsidRPr="00B57B6A">
        <w:rPr>
          <w:rFonts w:ascii="Times New Roman" w:hAnsi="Times New Roman" w:cs="Times New Roman"/>
          <w:sz w:val="24"/>
          <w:szCs w:val="24"/>
        </w:rPr>
        <w:t xml:space="preserve">, </w:t>
      </w:r>
      <w:r w:rsidR="00AE0C96" w:rsidRPr="00B57B6A">
        <w:rPr>
          <w:rStyle w:val="FootnoteReference"/>
          <w:rFonts w:ascii="Times New Roman" w:hAnsi="Times New Roman" w:cs="Times New Roman"/>
          <w:sz w:val="24"/>
          <w:szCs w:val="24"/>
        </w:rPr>
        <w:t xml:space="preserve"> </w:t>
      </w:r>
      <w:r w:rsidR="00AE0C96" w:rsidRPr="00B57B6A">
        <w:rPr>
          <w:rFonts w:ascii="Times New Roman" w:hAnsi="Times New Roman" w:cs="Times New Roman"/>
          <w:sz w:val="24"/>
          <w:szCs w:val="24"/>
        </w:rPr>
        <w:t>and he alleged that he had not received any mental health treatment</w:t>
      </w:r>
      <w:r w:rsidR="002F4AB2" w:rsidRPr="00B57B6A">
        <w:rPr>
          <w:rFonts w:ascii="Times New Roman" w:hAnsi="Times New Roman" w:cs="Times New Roman"/>
          <w:sz w:val="24"/>
          <w:szCs w:val="24"/>
        </w:rPr>
        <w:t xml:space="preserve"> </w:t>
      </w:r>
      <w:r w:rsidR="00AE0C96" w:rsidRPr="00B57B6A">
        <w:rPr>
          <w:rFonts w:ascii="Times New Roman" w:hAnsi="Times New Roman" w:cs="Times New Roman"/>
          <w:sz w:val="24"/>
          <w:szCs w:val="24"/>
        </w:rPr>
        <w:t>at the facility in years (indeed, there was none o</w:t>
      </w:r>
      <w:r w:rsidR="007324A2">
        <w:rPr>
          <w:rFonts w:ascii="Times New Roman" w:hAnsi="Times New Roman" w:cs="Times New Roman"/>
          <w:sz w:val="24"/>
          <w:szCs w:val="24"/>
        </w:rPr>
        <w:t>n</w:t>
      </w:r>
      <w:r w:rsidR="00AE0C96" w:rsidRPr="00B57B6A">
        <w:rPr>
          <w:rFonts w:ascii="Times New Roman" w:hAnsi="Times New Roman" w:cs="Times New Roman"/>
          <w:sz w:val="24"/>
          <w:szCs w:val="24"/>
        </w:rPr>
        <w:t xml:space="preserve"> offer</w:t>
      </w:r>
      <w:r w:rsidR="007324A2">
        <w:rPr>
          <w:rFonts w:ascii="Times New Roman" w:hAnsi="Times New Roman" w:cs="Times New Roman"/>
          <w:sz w:val="24"/>
          <w:szCs w:val="24"/>
        </w:rPr>
        <w:t>,</w:t>
      </w:r>
      <w:r w:rsidR="00AE0C96" w:rsidRPr="00B57B6A">
        <w:rPr>
          <w:rFonts w:ascii="Times New Roman" w:hAnsi="Times New Roman" w:cs="Times New Roman"/>
          <w:sz w:val="24"/>
          <w:szCs w:val="24"/>
        </w:rPr>
        <w:t xml:space="preserve"> other than medications). </w:t>
      </w:r>
      <w:r w:rsidR="002E7735" w:rsidRPr="00B57B6A">
        <w:rPr>
          <w:rStyle w:val="FootnoteReference"/>
          <w:rFonts w:ascii="Times New Roman" w:hAnsi="Times New Roman" w:cs="Times New Roman"/>
          <w:sz w:val="24"/>
          <w:szCs w:val="24"/>
        </w:rPr>
        <w:footnoteReference w:id="101"/>
      </w:r>
      <w:r w:rsidR="002E7735" w:rsidRPr="00B57B6A">
        <w:rPr>
          <w:rFonts w:ascii="Times New Roman" w:hAnsi="Times New Roman" w:cs="Times New Roman"/>
          <w:sz w:val="24"/>
          <w:szCs w:val="24"/>
        </w:rPr>
        <w:t xml:space="preserve"> </w:t>
      </w:r>
      <w:r w:rsidR="00AE0C96" w:rsidRPr="00B57B6A">
        <w:rPr>
          <w:rFonts w:ascii="Times New Roman" w:hAnsi="Times New Roman" w:cs="Times New Roman"/>
          <w:sz w:val="24"/>
          <w:szCs w:val="24"/>
        </w:rPr>
        <w:t>The European Court found that, after more than eight years, “[t]his period is sufficiently lengthy for him to have felt the full adverse effects of the restrictions imposed on him.”</w:t>
      </w:r>
      <w:r w:rsidR="00AE0C96" w:rsidRPr="00B57B6A">
        <w:rPr>
          <w:rStyle w:val="FootnoteReference"/>
          <w:rFonts w:ascii="Times New Roman" w:hAnsi="Times New Roman" w:cs="Times New Roman"/>
          <w:sz w:val="24"/>
          <w:szCs w:val="24"/>
        </w:rPr>
        <w:footnoteReference w:id="102"/>
      </w:r>
      <w:r w:rsidR="00AE0C96" w:rsidRPr="00B57B6A">
        <w:rPr>
          <w:rFonts w:ascii="Times New Roman" w:hAnsi="Times New Roman" w:cs="Times New Roman"/>
          <w:sz w:val="24"/>
          <w:szCs w:val="24"/>
        </w:rPr>
        <w:t xml:space="preserve"> The Court’s decision turned on Mr. Stanev’s improper detention</w:t>
      </w:r>
      <w:r w:rsidR="007E5CD7">
        <w:rPr>
          <w:rFonts w:ascii="Times New Roman" w:hAnsi="Times New Roman" w:cs="Times New Roman"/>
          <w:sz w:val="24"/>
          <w:szCs w:val="24"/>
        </w:rPr>
        <w:t>,</w:t>
      </w:r>
      <w:r w:rsidR="00AE0C96" w:rsidRPr="00B57B6A">
        <w:rPr>
          <w:rFonts w:ascii="Times New Roman" w:hAnsi="Times New Roman" w:cs="Times New Roman"/>
          <w:sz w:val="24"/>
          <w:szCs w:val="24"/>
        </w:rPr>
        <w:t xml:space="preserve"> which was found to be unrelated to his mental health condition.</w:t>
      </w:r>
      <w:r w:rsidR="002E7735" w:rsidRPr="00B57B6A">
        <w:rPr>
          <w:rStyle w:val="FootnoteReference"/>
          <w:rFonts w:ascii="Times New Roman" w:hAnsi="Times New Roman" w:cs="Times New Roman"/>
          <w:sz w:val="24"/>
          <w:szCs w:val="24"/>
        </w:rPr>
        <w:t xml:space="preserve"> </w:t>
      </w:r>
      <w:r w:rsidR="002E7735" w:rsidRPr="00B57B6A">
        <w:rPr>
          <w:rStyle w:val="FootnoteReference"/>
          <w:rFonts w:ascii="Times New Roman" w:hAnsi="Times New Roman" w:cs="Times New Roman"/>
          <w:sz w:val="24"/>
          <w:szCs w:val="24"/>
        </w:rPr>
        <w:footnoteReference w:id="103"/>
      </w:r>
      <w:r w:rsidR="002E7735" w:rsidRPr="00B57B6A">
        <w:rPr>
          <w:rFonts w:ascii="Times New Roman" w:hAnsi="Times New Roman" w:cs="Times New Roman"/>
          <w:sz w:val="24"/>
          <w:szCs w:val="24"/>
        </w:rPr>
        <w:t xml:space="preserve"> </w:t>
      </w:r>
      <w:r w:rsidR="00AE0C96" w:rsidRPr="00B57B6A">
        <w:rPr>
          <w:rFonts w:ascii="Times New Roman" w:hAnsi="Times New Roman" w:cs="Times New Roman"/>
          <w:sz w:val="24"/>
          <w:szCs w:val="24"/>
        </w:rPr>
        <w:t xml:space="preserve"> </w:t>
      </w:r>
    </w:p>
    <w:p w14:paraId="04444410" w14:textId="63F36406" w:rsidR="004C27BC" w:rsidRPr="00B57B6A" w:rsidRDefault="00AE0C96"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court ruled that</w:t>
      </w:r>
      <w:r w:rsidR="002E7735" w:rsidRPr="00B57B6A">
        <w:rPr>
          <w:rFonts w:ascii="Times New Roman" w:hAnsi="Times New Roman" w:cs="Times New Roman"/>
          <w:sz w:val="24"/>
          <w:szCs w:val="24"/>
        </w:rPr>
        <w:t>, due to poor conditions of confinement,</w:t>
      </w:r>
      <w:r w:rsidRPr="00B57B6A">
        <w:rPr>
          <w:rFonts w:ascii="Times New Roman" w:hAnsi="Times New Roman" w:cs="Times New Roman"/>
          <w:sz w:val="24"/>
          <w:szCs w:val="24"/>
        </w:rPr>
        <w:t xml:space="preserve"> Mr. Stanev had been subject to “degrading”</w:t>
      </w:r>
      <w:r w:rsidR="002E7735" w:rsidRPr="00B57B6A">
        <w:rPr>
          <w:rFonts w:ascii="Times New Roman" w:hAnsi="Times New Roman" w:cs="Times New Roman"/>
          <w:sz w:val="24"/>
          <w:szCs w:val="24"/>
        </w:rPr>
        <w:t xml:space="preserve"> treatment.</w:t>
      </w:r>
      <w:r w:rsidRPr="00B57B6A">
        <w:rPr>
          <w:rStyle w:val="FootnoteReference"/>
          <w:rFonts w:ascii="Times New Roman" w:hAnsi="Times New Roman" w:cs="Times New Roman"/>
          <w:sz w:val="24"/>
          <w:szCs w:val="24"/>
        </w:rPr>
        <w:footnoteReference w:id="104"/>
      </w:r>
      <w:r w:rsidRPr="00B57B6A">
        <w:rPr>
          <w:rFonts w:ascii="Times New Roman" w:hAnsi="Times New Roman" w:cs="Times New Roman"/>
          <w:sz w:val="24"/>
          <w:szCs w:val="24"/>
        </w:rPr>
        <w:t xml:space="preserve"> </w:t>
      </w:r>
      <w:r w:rsidR="007501FE" w:rsidRPr="00B57B6A">
        <w:rPr>
          <w:rFonts w:ascii="Times New Roman" w:hAnsi="Times New Roman" w:cs="Times New Roman"/>
          <w:sz w:val="24"/>
          <w:szCs w:val="24"/>
        </w:rPr>
        <w:t>“Degrading” treatment is prohibited under all circumstances under Article 3 of the European Convention, as it is under Article 7 of the ICCPR prohibiting “torture or … cruel, inhuman, or degr</w:t>
      </w:r>
      <w:r w:rsidR="003E55E1">
        <w:rPr>
          <w:rFonts w:ascii="Times New Roman" w:hAnsi="Times New Roman" w:cs="Times New Roman"/>
          <w:sz w:val="24"/>
          <w:szCs w:val="24"/>
        </w:rPr>
        <w:t>ading treatment or punishment.”</w:t>
      </w:r>
      <w:r w:rsidRPr="00B57B6A">
        <w:rPr>
          <w:rFonts w:ascii="Times New Roman" w:hAnsi="Times New Roman" w:cs="Times New Roman"/>
          <w:sz w:val="24"/>
          <w:szCs w:val="24"/>
        </w:rPr>
        <w:t xml:space="preserve"> Despite the enormous danger and tremendous suffering</w:t>
      </w:r>
      <w:r w:rsidR="00E80338" w:rsidRPr="00B57B6A">
        <w:rPr>
          <w:rFonts w:ascii="Times New Roman" w:hAnsi="Times New Roman" w:cs="Times New Roman"/>
          <w:sz w:val="24"/>
          <w:szCs w:val="24"/>
        </w:rPr>
        <w:t xml:space="preserve"> over close to ten years</w:t>
      </w:r>
      <w:r w:rsidRPr="00B57B6A">
        <w:rPr>
          <w:rFonts w:ascii="Times New Roman" w:hAnsi="Times New Roman" w:cs="Times New Roman"/>
          <w:sz w:val="24"/>
          <w:szCs w:val="24"/>
        </w:rPr>
        <w:t xml:space="preserve"> to which he was subject, the Court </w:t>
      </w:r>
      <w:r w:rsidR="00E80338" w:rsidRPr="00B57B6A">
        <w:rPr>
          <w:rFonts w:ascii="Times New Roman" w:hAnsi="Times New Roman" w:cs="Times New Roman"/>
          <w:sz w:val="24"/>
          <w:szCs w:val="24"/>
        </w:rPr>
        <w:t xml:space="preserve">did not find </w:t>
      </w:r>
      <w:r w:rsidRPr="00B57B6A">
        <w:rPr>
          <w:rFonts w:ascii="Times New Roman" w:hAnsi="Times New Roman" w:cs="Times New Roman"/>
          <w:sz w:val="24"/>
          <w:szCs w:val="24"/>
        </w:rPr>
        <w:t>that</w:t>
      </w:r>
      <w:r w:rsidR="007501FE" w:rsidRPr="00B57B6A">
        <w:rPr>
          <w:rFonts w:ascii="Times New Roman" w:hAnsi="Times New Roman" w:cs="Times New Roman"/>
          <w:sz w:val="24"/>
          <w:szCs w:val="24"/>
        </w:rPr>
        <w:t xml:space="preserve"> the suffering rose to the level of what could be considered torture, however</w:t>
      </w:r>
      <w:r w:rsidRPr="00B57B6A">
        <w:rPr>
          <w:rFonts w:ascii="Times New Roman" w:hAnsi="Times New Roman" w:cs="Times New Roman"/>
          <w:sz w:val="24"/>
          <w:szCs w:val="24"/>
        </w:rPr>
        <w:t>, noting that ‘there is no suggestion that the national authorities deliberately intended to inflict degrading treatment.”</w:t>
      </w:r>
      <w:r w:rsidR="00E80338" w:rsidRPr="00B57B6A">
        <w:rPr>
          <w:rStyle w:val="FootnoteReference"/>
          <w:rFonts w:ascii="Times New Roman" w:hAnsi="Times New Roman" w:cs="Times New Roman"/>
          <w:sz w:val="24"/>
          <w:szCs w:val="24"/>
        </w:rPr>
        <w:footnoteReference w:id="105"/>
      </w:r>
      <w:r w:rsidRPr="00B57B6A">
        <w:rPr>
          <w:rFonts w:ascii="Times New Roman" w:hAnsi="Times New Roman" w:cs="Times New Roman"/>
          <w:sz w:val="24"/>
          <w:szCs w:val="24"/>
        </w:rPr>
        <w:t xml:space="preserve"> </w:t>
      </w:r>
      <w:r w:rsidR="002E7735" w:rsidRPr="00B57B6A">
        <w:rPr>
          <w:rFonts w:ascii="Times New Roman" w:hAnsi="Times New Roman" w:cs="Times New Roman"/>
          <w:sz w:val="24"/>
          <w:szCs w:val="24"/>
        </w:rPr>
        <w:t xml:space="preserve"> The court also noted that </w:t>
      </w:r>
      <w:r w:rsidR="008065AF" w:rsidRPr="00B57B6A">
        <w:rPr>
          <w:rFonts w:ascii="Times New Roman" w:hAnsi="Times New Roman" w:cs="Times New Roman"/>
          <w:sz w:val="24"/>
          <w:szCs w:val="24"/>
        </w:rPr>
        <w:t>“it cannot be said that deprivation of liberty in itself raises an issue under Article 3.”</w:t>
      </w:r>
      <w:r w:rsidR="008065AF" w:rsidRPr="00B57B6A">
        <w:rPr>
          <w:rStyle w:val="FootnoteReference"/>
          <w:rFonts w:ascii="Times New Roman" w:hAnsi="Times New Roman" w:cs="Times New Roman"/>
          <w:sz w:val="24"/>
          <w:szCs w:val="24"/>
        </w:rPr>
        <w:footnoteReference w:id="106"/>
      </w:r>
      <w:r w:rsidR="008065AF" w:rsidRPr="00B57B6A">
        <w:rPr>
          <w:rFonts w:ascii="Times New Roman" w:hAnsi="Times New Roman" w:cs="Times New Roman"/>
          <w:sz w:val="24"/>
          <w:szCs w:val="24"/>
        </w:rPr>
        <w:t xml:space="preserve"> </w:t>
      </w:r>
      <w:r w:rsidR="002E7735" w:rsidRPr="00B57B6A">
        <w:rPr>
          <w:rFonts w:ascii="Times New Roman" w:hAnsi="Times New Roman" w:cs="Times New Roman"/>
          <w:sz w:val="24"/>
          <w:szCs w:val="24"/>
        </w:rPr>
        <w:t>To be considered a possible violation of the protection against torture or ill-treatment, the European Court said that</w:t>
      </w:r>
      <w:r w:rsidR="001569EF">
        <w:rPr>
          <w:rFonts w:ascii="Times New Roman" w:hAnsi="Times New Roman" w:cs="Times New Roman"/>
          <w:sz w:val="24"/>
          <w:szCs w:val="24"/>
        </w:rPr>
        <w:t xml:space="preserve"> the</w:t>
      </w:r>
      <w:r w:rsidR="002E7735" w:rsidRPr="00B57B6A">
        <w:rPr>
          <w:rFonts w:ascii="Times New Roman" w:hAnsi="Times New Roman" w:cs="Times New Roman"/>
          <w:sz w:val="24"/>
          <w:szCs w:val="24"/>
        </w:rPr>
        <w:t xml:space="preserve"> </w:t>
      </w:r>
      <w:r w:rsidR="008065AF" w:rsidRPr="00B57B6A">
        <w:rPr>
          <w:rFonts w:ascii="Times New Roman" w:hAnsi="Times New Roman" w:cs="Times New Roman"/>
          <w:sz w:val="24"/>
          <w:szCs w:val="24"/>
        </w:rPr>
        <w:t>“suffering and humiliation involved must in any event go beyond that inevitable element of suffering or humiliation connected with a given form of legitimate treatment or punishment.”</w:t>
      </w:r>
      <w:r w:rsidR="008065AF" w:rsidRPr="00B57B6A">
        <w:rPr>
          <w:rStyle w:val="FootnoteReference"/>
          <w:rFonts w:ascii="Times New Roman" w:hAnsi="Times New Roman" w:cs="Times New Roman"/>
          <w:sz w:val="24"/>
          <w:szCs w:val="24"/>
        </w:rPr>
        <w:footnoteReference w:id="107"/>
      </w:r>
      <w:r w:rsidR="004C27BC" w:rsidRPr="00B57B6A">
        <w:rPr>
          <w:rFonts w:ascii="Times New Roman" w:hAnsi="Times New Roman" w:cs="Times New Roman"/>
          <w:sz w:val="24"/>
          <w:szCs w:val="24"/>
        </w:rPr>
        <w:t xml:space="preserve">  </w:t>
      </w:r>
    </w:p>
    <w:p w14:paraId="1ED16DB7" w14:textId="11036647" w:rsidR="00BA10C1" w:rsidRDefault="00B75757" w:rsidP="00B57B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protection against torture under </w:t>
      </w:r>
      <w:r w:rsidR="00686FC9">
        <w:rPr>
          <w:rFonts w:ascii="Times New Roman" w:hAnsi="Times New Roman" w:cs="Times New Roman"/>
          <w:sz w:val="24"/>
          <w:szCs w:val="24"/>
        </w:rPr>
        <w:t xml:space="preserve">Article 1 of CAT specifically excludes </w:t>
      </w:r>
      <w:r>
        <w:rPr>
          <w:rFonts w:ascii="Times New Roman" w:hAnsi="Times New Roman" w:cs="Times New Roman"/>
          <w:sz w:val="24"/>
          <w:szCs w:val="24"/>
        </w:rPr>
        <w:t>“pain or suffering arising from, inherent in or incidental to lawful sanctions.”</w:t>
      </w:r>
      <w:r>
        <w:rPr>
          <w:rStyle w:val="FootnoteReference"/>
          <w:rFonts w:ascii="Times New Roman" w:hAnsi="Times New Roman" w:cs="Times New Roman"/>
          <w:sz w:val="24"/>
          <w:szCs w:val="24"/>
        </w:rPr>
        <w:footnoteReference w:id="108"/>
      </w:r>
      <w:r>
        <w:rPr>
          <w:rFonts w:ascii="Times New Roman" w:hAnsi="Times New Roman" w:cs="Times New Roman"/>
          <w:sz w:val="24"/>
          <w:szCs w:val="24"/>
        </w:rPr>
        <w:t xml:space="preserve"> </w:t>
      </w:r>
      <w:r w:rsidR="00E345FA" w:rsidRPr="00B57B6A">
        <w:rPr>
          <w:rFonts w:ascii="Times New Roman" w:hAnsi="Times New Roman" w:cs="Times New Roman"/>
          <w:sz w:val="24"/>
          <w:szCs w:val="24"/>
        </w:rPr>
        <w:t xml:space="preserve">The legal doctrine applied by the European Court make sense in the </w:t>
      </w:r>
      <w:r w:rsidR="003E55E1">
        <w:rPr>
          <w:rFonts w:ascii="Times New Roman" w:hAnsi="Times New Roman" w:cs="Times New Roman"/>
          <w:sz w:val="24"/>
          <w:szCs w:val="24"/>
        </w:rPr>
        <w:t xml:space="preserve">context of </w:t>
      </w:r>
      <w:r>
        <w:rPr>
          <w:rFonts w:ascii="Times New Roman" w:hAnsi="Times New Roman" w:cs="Times New Roman"/>
          <w:sz w:val="24"/>
          <w:szCs w:val="24"/>
        </w:rPr>
        <w:t xml:space="preserve">the suffering inherent in </w:t>
      </w:r>
      <w:r w:rsidR="003E55E1">
        <w:rPr>
          <w:rFonts w:ascii="Times New Roman" w:hAnsi="Times New Roman" w:cs="Times New Roman"/>
          <w:sz w:val="24"/>
          <w:szCs w:val="24"/>
        </w:rPr>
        <w:t>criminal commitment.</w:t>
      </w:r>
      <w:r w:rsidR="00E345FA" w:rsidRPr="00B57B6A">
        <w:rPr>
          <w:rFonts w:ascii="Times New Roman" w:hAnsi="Times New Roman" w:cs="Times New Roman"/>
          <w:sz w:val="24"/>
          <w:szCs w:val="24"/>
        </w:rPr>
        <w:t xml:space="preserve"> </w:t>
      </w:r>
      <w:r>
        <w:rPr>
          <w:rFonts w:ascii="Times New Roman" w:hAnsi="Times New Roman" w:cs="Times New Roman"/>
          <w:sz w:val="24"/>
          <w:szCs w:val="24"/>
        </w:rPr>
        <w:t>It is highly problematic, h</w:t>
      </w:r>
      <w:r w:rsidR="00D92034">
        <w:rPr>
          <w:rFonts w:ascii="Times New Roman" w:hAnsi="Times New Roman" w:cs="Times New Roman"/>
          <w:sz w:val="24"/>
          <w:szCs w:val="24"/>
        </w:rPr>
        <w:t xml:space="preserve">owever, </w:t>
      </w:r>
      <w:r w:rsidR="00E345FA" w:rsidRPr="00B57B6A">
        <w:rPr>
          <w:rFonts w:ascii="Times New Roman" w:hAnsi="Times New Roman" w:cs="Times New Roman"/>
          <w:sz w:val="24"/>
          <w:szCs w:val="24"/>
        </w:rPr>
        <w:t xml:space="preserve">to apply this doctrine to </w:t>
      </w:r>
      <w:r>
        <w:rPr>
          <w:rFonts w:ascii="Times New Roman" w:hAnsi="Times New Roman" w:cs="Times New Roman"/>
          <w:sz w:val="24"/>
          <w:szCs w:val="24"/>
        </w:rPr>
        <w:t xml:space="preserve">children or </w:t>
      </w:r>
      <w:r w:rsidR="00E345FA" w:rsidRPr="00B57B6A">
        <w:rPr>
          <w:rFonts w:ascii="Times New Roman" w:hAnsi="Times New Roman" w:cs="Times New Roman"/>
          <w:sz w:val="24"/>
          <w:szCs w:val="24"/>
        </w:rPr>
        <w:t>people with disabilities who are detained in institutions simply because social service systems are unable to provide the c</w:t>
      </w:r>
      <w:r w:rsidR="003E55E1">
        <w:rPr>
          <w:rFonts w:ascii="Times New Roman" w:hAnsi="Times New Roman" w:cs="Times New Roman"/>
          <w:sz w:val="24"/>
          <w:szCs w:val="24"/>
        </w:rPr>
        <w:t>are they need in the community.</w:t>
      </w:r>
      <w:r w:rsidR="00E345FA" w:rsidRPr="00B57B6A">
        <w:rPr>
          <w:rFonts w:ascii="Times New Roman" w:hAnsi="Times New Roman" w:cs="Times New Roman"/>
          <w:sz w:val="24"/>
          <w:szCs w:val="24"/>
        </w:rPr>
        <w:t xml:space="preserve"> </w:t>
      </w:r>
      <w:r w:rsidR="00BA10C1">
        <w:rPr>
          <w:rFonts w:ascii="Times New Roman" w:hAnsi="Times New Roman" w:cs="Times New Roman"/>
          <w:sz w:val="24"/>
          <w:szCs w:val="24"/>
        </w:rPr>
        <w:t>An earlier Special Rapporteur on Torture, Nigel Rodl</w:t>
      </w:r>
      <w:r>
        <w:rPr>
          <w:rFonts w:ascii="Times New Roman" w:hAnsi="Times New Roman" w:cs="Times New Roman"/>
          <w:sz w:val="24"/>
          <w:szCs w:val="24"/>
        </w:rPr>
        <w:t>e</w:t>
      </w:r>
      <w:r w:rsidR="00BA10C1">
        <w:rPr>
          <w:rFonts w:ascii="Times New Roman" w:hAnsi="Times New Roman" w:cs="Times New Roman"/>
          <w:sz w:val="24"/>
          <w:szCs w:val="24"/>
        </w:rPr>
        <w:t>y, has argued that the doctrine “must necessarily refer to those sanctions widely accepted as legitimate by the international community.”</w:t>
      </w:r>
      <w:r w:rsidR="00C837D4">
        <w:rPr>
          <w:rStyle w:val="FootnoteReference"/>
          <w:rFonts w:ascii="Times New Roman" w:hAnsi="Times New Roman" w:cs="Times New Roman"/>
          <w:sz w:val="24"/>
          <w:szCs w:val="24"/>
        </w:rPr>
        <w:footnoteReference w:id="109"/>
      </w:r>
    </w:p>
    <w:p w14:paraId="4049E80C" w14:textId="29BA7AD6" w:rsidR="007A57E9" w:rsidRPr="00B57B6A" w:rsidRDefault="002E7735"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Mr. Stanev was illegally detained and did not need or receive treatment</w:t>
      </w:r>
      <w:r w:rsidR="00C837D4">
        <w:rPr>
          <w:rFonts w:ascii="Times New Roman" w:hAnsi="Times New Roman" w:cs="Times New Roman"/>
          <w:sz w:val="24"/>
          <w:szCs w:val="24"/>
        </w:rPr>
        <w:t xml:space="preserve">. </w:t>
      </w:r>
      <w:r w:rsidR="00B75757">
        <w:rPr>
          <w:rFonts w:ascii="Times New Roman" w:hAnsi="Times New Roman" w:cs="Times New Roman"/>
          <w:sz w:val="24"/>
          <w:szCs w:val="24"/>
        </w:rPr>
        <w:t>I</w:t>
      </w:r>
      <w:r w:rsidR="00C837D4">
        <w:rPr>
          <w:rFonts w:ascii="Times New Roman" w:hAnsi="Times New Roman" w:cs="Times New Roman"/>
          <w:sz w:val="24"/>
          <w:szCs w:val="24"/>
        </w:rPr>
        <w:t>t is not clear why</w:t>
      </w:r>
      <w:r w:rsidRPr="00B57B6A">
        <w:rPr>
          <w:rFonts w:ascii="Times New Roman" w:hAnsi="Times New Roman" w:cs="Times New Roman"/>
          <w:sz w:val="24"/>
          <w:szCs w:val="24"/>
        </w:rPr>
        <w:t xml:space="preserve"> he </w:t>
      </w:r>
      <w:r w:rsidR="00C837D4">
        <w:rPr>
          <w:rFonts w:ascii="Times New Roman" w:hAnsi="Times New Roman" w:cs="Times New Roman"/>
          <w:sz w:val="24"/>
          <w:szCs w:val="24"/>
        </w:rPr>
        <w:t xml:space="preserve">should or </w:t>
      </w:r>
      <w:r w:rsidRPr="00B57B6A">
        <w:rPr>
          <w:rFonts w:ascii="Times New Roman" w:hAnsi="Times New Roman" w:cs="Times New Roman"/>
          <w:sz w:val="24"/>
          <w:szCs w:val="24"/>
        </w:rPr>
        <w:t xml:space="preserve">would “inevitably” be subject to </w:t>
      </w:r>
      <w:r w:rsidRPr="00B57B6A">
        <w:rPr>
          <w:rFonts w:ascii="Times New Roman" w:hAnsi="Times New Roman" w:cs="Times New Roman"/>
          <w:i/>
          <w:sz w:val="24"/>
          <w:szCs w:val="24"/>
        </w:rPr>
        <w:t>any</w:t>
      </w:r>
      <w:r w:rsidRPr="00B57B6A">
        <w:rPr>
          <w:rFonts w:ascii="Times New Roman" w:hAnsi="Times New Roman" w:cs="Times New Roman"/>
          <w:sz w:val="24"/>
          <w:szCs w:val="24"/>
        </w:rPr>
        <w:t xml:space="preserve"> suffering or humiliation. </w:t>
      </w:r>
      <w:r w:rsidR="004C27BC" w:rsidRPr="00B57B6A">
        <w:rPr>
          <w:rFonts w:ascii="Times New Roman" w:hAnsi="Times New Roman" w:cs="Times New Roman"/>
          <w:sz w:val="24"/>
          <w:szCs w:val="24"/>
        </w:rPr>
        <w:t xml:space="preserve">In </w:t>
      </w:r>
      <w:r w:rsidR="003761DD">
        <w:rPr>
          <w:rFonts w:ascii="Times New Roman" w:hAnsi="Times New Roman" w:cs="Times New Roman"/>
          <w:sz w:val="24"/>
          <w:szCs w:val="24"/>
        </w:rPr>
        <w:t>view</w:t>
      </w:r>
      <w:r w:rsidR="004C27BC" w:rsidRPr="00B57B6A">
        <w:rPr>
          <w:rFonts w:ascii="Times New Roman" w:hAnsi="Times New Roman" w:cs="Times New Roman"/>
          <w:sz w:val="24"/>
          <w:szCs w:val="24"/>
        </w:rPr>
        <w:t xml:space="preserve"> of the right to community integration under the CRPD, it is </w:t>
      </w:r>
      <w:r w:rsidR="00DC4493">
        <w:rPr>
          <w:rFonts w:ascii="Times New Roman" w:hAnsi="Times New Roman" w:cs="Times New Roman"/>
          <w:sz w:val="24"/>
          <w:szCs w:val="24"/>
        </w:rPr>
        <w:t>difficult</w:t>
      </w:r>
      <w:r w:rsidR="00DC4493" w:rsidRPr="00B57B6A">
        <w:rPr>
          <w:rFonts w:ascii="Times New Roman" w:hAnsi="Times New Roman" w:cs="Times New Roman"/>
          <w:sz w:val="24"/>
          <w:szCs w:val="24"/>
        </w:rPr>
        <w:t xml:space="preserve"> </w:t>
      </w:r>
      <w:r w:rsidR="004C27BC" w:rsidRPr="00B57B6A">
        <w:rPr>
          <w:rFonts w:ascii="Times New Roman" w:hAnsi="Times New Roman" w:cs="Times New Roman"/>
          <w:sz w:val="24"/>
          <w:szCs w:val="24"/>
        </w:rPr>
        <w:t xml:space="preserve">to </w:t>
      </w:r>
      <w:r w:rsidR="00B25AEA">
        <w:rPr>
          <w:rFonts w:ascii="Times New Roman" w:hAnsi="Times New Roman" w:cs="Times New Roman"/>
          <w:sz w:val="24"/>
          <w:szCs w:val="24"/>
        </w:rPr>
        <w:t>contend</w:t>
      </w:r>
      <w:r w:rsidR="004C27BC" w:rsidRPr="00B57B6A">
        <w:rPr>
          <w:rFonts w:ascii="Times New Roman" w:hAnsi="Times New Roman" w:cs="Times New Roman"/>
          <w:sz w:val="24"/>
          <w:szCs w:val="24"/>
        </w:rPr>
        <w:t xml:space="preserve"> that such detention could be considered “legitimate.”</w:t>
      </w:r>
      <w:r w:rsidRPr="00B57B6A">
        <w:rPr>
          <w:rFonts w:ascii="Times New Roman" w:hAnsi="Times New Roman" w:cs="Times New Roman"/>
          <w:sz w:val="24"/>
          <w:szCs w:val="24"/>
        </w:rPr>
        <w:t xml:space="preserve"> </w:t>
      </w:r>
      <w:r w:rsidR="007A57E9" w:rsidRPr="00B57B6A">
        <w:rPr>
          <w:rFonts w:ascii="Times New Roman" w:hAnsi="Times New Roman" w:cs="Times New Roman"/>
          <w:sz w:val="24"/>
          <w:szCs w:val="24"/>
        </w:rPr>
        <w:t xml:space="preserve">In light of the CRPD, however, the European Court does appear to be increasingly open to claims that the emotional pain caused by separation should be taken into </w:t>
      </w:r>
      <w:r w:rsidR="007A57E9" w:rsidRPr="00B57B6A">
        <w:rPr>
          <w:rFonts w:ascii="Times New Roman" w:hAnsi="Times New Roman" w:cs="Times New Roman"/>
          <w:sz w:val="24"/>
          <w:szCs w:val="24"/>
        </w:rPr>
        <w:lastRenderedPageBreak/>
        <w:t>consideration for a person with a disability.</w:t>
      </w:r>
      <w:r w:rsidR="00951925">
        <w:rPr>
          <w:rFonts w:ascii="Times New Roman" w:hAnsi="Times New Roman" w:cs="Times New Roman"/>
          <w:sz w:val="24"/>
          <w:szCs w:val="24"/>
        </w:rPr>
        <w:t xml:space="preserve">  In the case of Z.H. v. Hungary, the “isolation and hopelessness” associated with detention were factors taken into consideration by the European Court.</w:t>
      </w:r>
      <w:r w:rsidR="007A57E9" w:rsidRPr="00B57B6A">
        <w:rPr>
          <w:rStyle w:val="FootnoteReference"/>
          <w:rFonts w:ascii="Times New Roman" w:hAnsi="Times New Roman" w:cs="Times New Roman"/>
          <w:sz w:val="24"/>
          <w:szCs w:val="24"/>
        </w:rPr>
        <w:footnoteReference w:id="110"/>
      </w:r>
      <w:r w:rsidR="007A57E9" w:rsidRPr="00B57B6A">
        <w:rPr>
          <w:rFonts w:ascii="Times New Roman" w:hAnsi="Times New Roman" w:cs="Times New Roman"/>
          <w:sz w:val="24"/>
          <w:szCs w:val="24"/>
        </w:rPr>
        <w:t xml:space="preserve"> A similar analysis could also be extended to children placed in institutions.</w:t>
      </w:r>
    </w:p>
    <w:p w14:paraId="05ECE2E2" w14:textId="28D73320" w:rsidR="002E7735" w:rsidRPr="00B57B6A" w:rsidRDefault="002E7735"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final </w:t>
      </w:r>
      <w:r w:rsidR="00721E9A">
        <w:rPr>
          <w:rFonts w:ascii="Times New Roman" w:hAnsi="Times New Roman" w:cs="Times New Roman"/>
          <w:sz w:val="24"/>
          <w:szCs w:val="24"/>
        </w:rPr>
        <w:t xml:space="preserve">and </w:t>
      </w:r>
      <w:r w:rsidR="00E80338" w:rsidRPr="00B57B6A">
        <w:rPr>
          <w:rFonts w:ascii="Times New Roman" w:hAnsi="Times New Roman" w:cs="Times New Roman"/>
          <w:sz w:val="24"/>
          <w:szCs w:val="24"/>
        </w:rPr>
        <w:t xml:space="preserve">sad </w:t>
      </w:r>
      <w:r w:rsidRPr="00B57B6A">
        <w:rPr>
          <w:rFonts w:ascii="Times New Roman" w:hAnsi="Times New Roman" w:cs="Times New Roman"/>
          <w:sz w:val="24"/>
          <w:szCs w:val="24"/>
        </w:rPr>
        <w:t xml:space="preserve">outcome of </w:t>
      </w:r>
      <w:r w:rsidR="00E80338" w:rsidRPr="00B57B6A">
        <w:rPr>
          <w:rFonts w:ascii="Times New Roman" w:hAnsi="Times New Roman" w:cs="Times New Roman"/>
          <w:sz w:val="24"/>
          <w:szCs w:val="24"/>
        </w:rPr>
        <w:t>Mr. Stanev’s personal situation d</w:t>
      </w:r>
      <w:r w:rsidRPr="00B57B6A">
        <w:rPr>
          <w:rFonts w:ascii="Times New Roman" w:hAnsi="Times New Roman" w:cs="Times New Roman"/>
          <w:sz w:val="24"/>
          <w:szCs w:val="24"/>
        </w:rPr>
        <w:t>emonstrates the limitations of the approach taken by the European C</w:t>
      </w:r>
      <w:r w:rsidR="00312046" w:rsidRPr="00B57B6A">
        <w:rPr>
          <w:rFonts w:ascii="Times New Roman" w:hAnsi="Times New Roman" w:cs="Times New Roman"/>
          <w:sz w:val="24"/>
          <w:szCs w:val="24"/>
        </w:rPr>
        <w:t xml:space="preserve">ourt. </w:t>
      </w:r>
      <w:r w:rsidRPr="00B57B6A">
        <w:rPr>
          <w:rFonts w:ascii="Times New Roman" w:hAnsi="Times New Roman" w:cs="Times New Roman"/>
          <w:sz w:val="24"/>
          <w:szCs w:val="24"/>
        </w:rPr>
        <w:t>Bulgaria’s laws on detention and access to justice were ruled to be in violation of the European Conventi</w:t>
      </w:r>
      <w:r w:rsidR="00312046" w:rsidRPr="00B57B6A">
        <w:rPr>
          <w:rFonts w:ascii="Times New Roman" w:hAnsi="Times New Roman" w:cs="Times New Roman"/>
          <w:sz w:val="24"/>
          <w:szCs w:val="24"/>
        </w:rPr>
        <w:t xml:space="preserve">on. Ten years after his initial detention, </w:t>
      </w:r>
      <w:r w:rsidRPr="00B57B6A">
        <w:rPr>
          <w:rFonts w:ascii="Times New Roman" w:hAnsi="Times New Roman" w:cs="Times New Roman"/>
          <w:sz w:val="24"/>
          <w:szCs w:val="24"/>
        </w:rPr>
        <w:t xml:space="preserve">Mr. Stanev </w:t>
      </w:r>
      <w:r w:rsidR="00312046" w:rsidRPr="00B57B6A">
        <w:rPr>
          <w:rFonts w:ascii="Times New Roman" w:hAnsi="Times New Roman" w:cs="Times New Roman"/>
          <w:sz w:val="24"/>
          <w:szCs w:val="24"/>
        </w:rPr>
        <w:t>was awarded 15,000 Euros in damages.</w:t>
      </w:r>
      <w:r w:rsidR="00312046" w:rsidRPr="00B57B6A">
        <w:rPr>
          <w:rStyle w:val="FootnoteReference"/>
          <w:rFonts w:ascii="Times New Roman" w:hAnsi="Times New Roman" w:cs="Times New Roman"/>
          <w:sz w:val="24"/>
          <w:szCs w:val="24"/>
        </w:rPr>
        <w:footnoteReference w:id="111"/>
      </w:r>
      <w:r w:rsidR="00312046" w:rsidRPr="00B57B6A">
        <w:rPr>
          <w:rFonts w:ascii="Times New Roman" w:hAnsi="Times New Roman" w:cs="Times New Roman"/>
          <w:sz w:val="24"/>
          <w:szCs w:val="24"/>
        </w:rPr>
        <w:t xml:space="preserve">  But </w:t>
      </w:r>
      <w:r w:rsidR="00E80338" w:rsidRPr="00B57B6A">
        <w:rPr>
          <w:rFonts w:ascii="Times New Roman" w:hAnsi="Times New Roman" w:cs="Times New Roman"/>
          <w:sz w:val="24"/>
          <w:szCs w:val="24"/>
        </w:rPr>
        <w:t xml:space="preserve">the European Court ordered </w:t>
      </w:r>
      <w:r w:rsidR="00312046" w:rsidRPr="00B57B6A">
        <w:rPr>
          <w:rFonts w:ascii="Times New Roman" w:hAnsi="Times New Roman" w:cs="Times New Roman"/>
          <w:sz w:val="24"/>
          <w:szCs w:val="24"/>
        </w:rPr>
        <w:t>no changes to the services provided by Bulgaria’s mental health system. According to activists in Bulgaria, Mr. Stanev could not work and had no place to go</w:t>
      </w:r>
      <w:r w:rsidR="005D55A7">
        <w:rPr>
          <w:rFonts w:ascii="Times New Roman" w:hAnsi="Times New Roman" w:cs="Times New Roman"/>
          <w:sz w:val="24"/>
          <w:szCs w:val="24"/>
        </w:rPr>
        <w:t xml:space="preserve"> following the ruling, and</w:t>
      </w:r>
      <w:r w:rsidR="00312046" w:rsidRPr="00B57B6A">
        <w:rPr>
          <w:rFonts w:ascii="Times New Roman" w:hAnsi="Times New Roman" w:cs="Times New Roman"/>
          <w:sz w:val="24"/>
          <w:szCs w:val="24"/>
        </w:rPr>
        <w:t xml:space="preserve"> </w:t>
      </w:r>
      <w:r w:rsidR="005D55A7">
        <w:rPr>
          <w:rFonts w:ascii="Times New Roman" w:hAnsi="Times New Roman" w:cs="Times New Roman"/>
          <w:sz w:val="24"/>
          <w:szCs w:val="24"/>
        </w:rPr>
        <w:t>a</w:t>
      </w:r>
      <w:r w:rsidR="00312046" w:rsidRPr="00B57B6A">
        <w:rPr>
          <w:rFonts w:ascii="Times New Roman" w:hAnsi="Times New Roman" w:cs="Times New Roman"/>
          <w:sz w:val="24"/>
          <w:szCs w:val="24"/>
        </w:rPr>
        <w:t>fter he spent his damage award, he ended up back in another Bulgarian social care facility.</w:t>
      </w:r>
      <w:r w:rsidR="00312046" w:rsidRPr="00B57B6A">
        <w:rPr>
          <w:rStyle w:val="FootnoteReference"/>
          <w:rFonts w:ascii="Times New Roman" w:hAnsi="Times New Roman" w:cs="Times New Roman"/>
          <w:sz w:val="24"/>
          <w:szCs w:val="24"/>
        </w:rPr>
        <w:footnoteReference w:id="112"/>
      </w:r>
      <w:r w:rsidR="00312046" w:rsidRPr="00B57B6A">
        <w:rPr>
          <w:rFonts w:ascii="Times New Roman" w:hAnsi="Times New Roman" w:cs="Times New Roman"/>
          <w:sz w:val="24"/>
          <w:szCs w:val="24"/>
        </w:rPr>
        <w:t xml:space="preserve"> Conditions may be cleaner and nicer, but Mr. Stanev </w:t>
      </w:r>
      <w:r w:rsidR="00EC6ADC">
        <w:rPr>
          <w:rFonts w:ascii="Times New Roman" w:hAnsi="Times New Roman" w:cs="Times New Roman"/>
          <w:sz w:val="24"/>
          <w:szCs w:val="24"/>
        </w:rPr>
        <w:t>was</w:t>
      </w:r>
      <w:r w:rsidR="00312046" w:rsidRPr="00B57B6A">
        <w:rPr>
          <w:rFonts w:ascii="Times New Roman" w:hAnsi="Times New Roman" w:cs="Times New Roman"/>
          <w:sz w:val="24"/>
          <w:szCs w:val="24"/>
        </w:rPr>
        <w:t xml:space="preserve"> again segregated from society.  The funds used by Bulgaria to pay for Mr. Stanev’s </w:t>
      </w:r>
      <w:r w:rsidR="00E80338" w:rsidRPr="00B57B6A">
        <w:rPr>
          <w:rFonts w:ascii="Times New Roman" w:hAnsi="Times New Roman" w:cs="Times New Roman"/>
          <w:sz w:val="24"/>
          <w:szCs w:val="24"/>
        </w:rPr>
        <w:t xml:space="preserve">life-time of </w:t>
      </w:r>
      <w:r w:rsidR="00312046" w:rsidRPr="00B57B6A">
        <w:rPr>
          <w:rFonts w:ascii="Times New Roman" w:hAnsi="Times New Roman" w:cs="Times New Roman"/>
          <w:sz w:val="24"/>
          <w:szCs w:val="24"/>
        </w:rPr>
        <w:t xml:space="preserve">shelter could just as well have been used to pay for housing and </w:t>
      </w:r>
      <w:r w:rsidR="00E80338" w:rsidRPr="00B57B6A">
        <w:rPr>
          <w:rFonts w:ascii="Times New Roman" w:hAnsi="Times New Roman" w:cs="Times New Roman"/>
          <w:sz w:val="24"/>
          <w:szCs w:val="24"/>
        </w:rPr>
        <w:t xml:space="preserve">living expenses </w:t>
      </w:r>
      <w:r w:rsidR="00312046" w:rsidRPr="00B57B6A">
        <w:rPr>
          <w:rFonts w:ascii="Times New Roman" w:hAnsi="Times New Roman" w:cs="Times New Roman"/>
          <w:sz w:val="24"/>
          <w:szCs w:val="24"/>
        </w:rPr>
        <w:t>in the community.</w:t>
      </w:r>
    </w:p>
    <w:p w14:paraId="6507AF32" w14:textId="2955A49B" w:rsidR="002E3FE5" w:rsidRPr="00B57B6A" w:rsidRDefault="00312046"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In contrast with the approach taken by the European </w:t>
      </w:r>
      <w:r w:rsidR="000941AE">
        <w:rPr>
          <w:rFonts w:ascii="Times New Roman" w:hAnsi="Times New Roman" w:cs="Times New Roman"/>
          <w:sz w:val="24"/>
          <w:szCs w:val="24"/>
        </w:rPr>
        <w:t>C</w:t>
      </w:r>
      <w:r w:rsidRPr="00B57B6A">
        <w:rPr>
          <w:rFonts w:ascii="Times New Roman" w:hAnsi="Times New Roman" w:cs="Times New Roman"/>
          <w:sz w:val="24"/>
          <w:szCs w:val="24"/>
        </w:rPr>
        <w:t>ourt, t</w:t>
      </w:r>
      <w:r w:rsidR="00E94832" w:rsidRPr="00B57B6A">
        <w:rPr>
          <w:rFonts w:ascii="Times New Roman" w:hAnsi="Times New Roman" w:cs="Times New Roman"/>
          <w:sz w:val="24"/>
          <w:szCs w:val="24"/>
        </w:rPr>
        <w:t>he Special Rapporteur’s</w:t>
      </w:r>
      <w:r w:rsidR="00BC4957" w:rsidRPr="00B57B6A">
        <w:rPr>
          <w:rFonts w:ascii="Times New Roman" w:hAnsi="Times New Roman" w:cs="Times New Roman"/>
          <w:sz w:val="24"/>
          <w:szCs w:val="24"/>
        </w:rPr>
        <w:t xml:space="preserve"> analysis in</w:t>
      </w:r>
      <w:r w:rsidR="00E94832" w:rsidRPr="00B57B6A">
        <w:rPr>
          <w:rFonts w:ascii="Times New Roman" w:hAnsi="Times New Roman" w:cs="Times New Roman"/>
          <w:sz w:val="24"/>
          <w:szCs w:val="24"/>
        </w:rPr>
        <w:t xml:space="preserve"> the</w:t>
      </w:r>
      <w:r w:rsidR="00DC75B9">
        <w:rPr>
          <w:rFonts w:ascii="Times New Roman" w:hAnsi="Times New Roman" w:cs="Times New Roman"/>
          <w:sz w:val="24"/>
          <w:szCs w:val="24"/>
        </w:rPr>
        <w:t xml:space="preserve"> 2013</w:t>
      </w:r>
      <w:r w:rsidR="00E94832" w:rsidRPr="00B57B6A">
        <w:rPr>
          <w:rFonts w:ascii="Times New Roman" w:hAnsi="Times New Roman" w:cs="Times New Roman"/>
          <w:sz w:val="24"/>
          <w:szCs w:val="24"/>
        </w:rPr>
        <w:t xml:space="preserve"> </w:t>
      </w:r>
      <w:r w:rsidR="00BC4957" w:rsidRPr="00B57B6A">
        <w:rPr>
          <w:rFonts w:ascii="Times New Roman" w:hAnsi="Times New Roman" w:cs="Times New Roman"/>
          <w:sz w:val="24"/>
          <w:szCs w:val="24"/>
        </w:rPr>
        <w:t xml:space="preserve">Torture in Health Care Report </w:t>
      </w:r>
      <w:r w:rsidR="00E94832" w:rsidRPr="00B57B6A">
        <w:rPr>
          <w:rFonts w:ascii="Times New Roman" w:hAnsi="Times New Roman" w:cs="Times New Roman"/>
          <w:sz w:val="24"/>
          <w:szCs w:val="24"/>
        </w:rPr>
        <w:t xml:space="preserve">recognizes that detention on the basis of disability is inherently </w:t>
      </w:r>
      <w:r w:rsidR="00C837D4">
        <w:rPr>
          <w:rFonts w:ascii="Times New Roman" w:hAnsi="Times New Roman" w:cs="Times New Roman"/>
          <w:sz w:val="24"/>
          <w:szCs w:val="24"/>
        </w:rPr>
        <w:t>discriminatory</w:t>
      </w:r>
      <w:r w:rsidR="00E94832" w:rsidRPr="00B57B6A">
        <w:rPr>
          <w:rFonts w:ascii="Times New Roman" w:hAnsi="Times New Roman" w:cs="Times New Roman"/>
          <w:sz w:val="24"/>
          <w:szCs w:val="24"/>
        </w:rPr>
        <w:t>.</w:t>
      </w:r>
      <w:r w:rsidR="00E94832" w:rsidRPr="00B57B6A">
        <w:rPr>
          <w:rStyle w:val="FootnoteReference"/>
          <w:rFonts w:ascii="Times New Roman" w:hAnsi="Times New Roman" w:cs="Times New Roman"/>
          <w:sz w:val="24"/>
          <w:szCs w:val="24"/>
        </w:rPr>
        <w:footnoteReference w:id="113"/>
      </w:r>
      <w:r w:rsidR="002E3FE5" w:rsidRPr="00B57B6A">
        <w:rPr>
          <w:rFonts w:ascii="Times New Roman" w:hAnsi="Times New Roman" w:cs="Times New Roman"/>
          <w:sz w:val="24"/>
          <w:szCs w:val="24"/>
        </w:rPr>
        <w:t xml:space="preserve">  If the detention of children also fails to meet the standard set forth in the Méndez Report, it would follow that the pain caused by segregation and family separation for a child could constitute ill-treatment or torture. Explicit recognition that improper detention of children </w:t>
      </w:r>
      <w:r w:rsidR="006C732D">
        <w:rPr>
          <w:rFonts w:ascii="Times New Roman" w:hAnsi="Times New Roman" w:cs="Times New Roman"/>
          <w:sz w:val="24"/>
          <w:szCs w:val="24"/>
        </w:rPr>
        <w:t>constitutes</w:t>
      </w:r>
      <w:r w:rsidR="002E3FE5" w:rsidRPr="00B57B6A">
        <w:rPr>
          <w:rFonts w:ascii="Times New Roman" w:hAnsi="Times New Roman" w:cs="Times New Roman"/>
          <w:sz w:val="24"/>
          <w:szCs w:val="24"/>
        </w:rPr>
        <w:t xml:space="preserve"> ill-treatment or torture would be a powerful development in </w:t>
      </w:r>
      <w:r w:rsidR="00AC6223">
        <w:rPr>
          <w:rFonts w:ascii="Times New Roman" w:hAnsi="Times New Roman" w:cs="Times New Roman"/>
          <w:sz w:val="24"/>
          <w:szCs w:val="24"/>
        </w:rPr>
        <w:t>the international legal framework</w:t>
      </w:r>
      <w:r w:rsidR="006A3EB7">
        <w:rPr>
          <w:rFonts w:ascii="Times New Roman" w:hAnsi="Times New Roman" w:cs="Times New Roman"/>
          <w:sz w:val="24"/>
          <w:szCs w:val="24"/>
        </w:rPr>
        <w:t xml:space="preserve"> on torture and ill-treatment</w:t>
      </w:r>
      <w:r w:rsidR="002E3FE5" w:rsidRPr="00B57B6A">
        <w:rPr>
          <w:rFonts w:ascii="Times New Roman" w:hAnsi="Times New Roman" w:cs="Times New Roman"/>
          <w:sz w:val="24"/>
          <w:szCs w:val="24"/>
        </w:rPr>
        <w:t>, and it is the logical extension of the Special Rapporteur’s Torture in Healthcare Report. A further clarification of this matter by the Special Rapporteur on To</w:t>
      </w:r>
      <w:r w:rsidR="00C837D4">
        <w:rPr>
          <w:rFonts w:ascii="Times New Roman" w:hAnsi="Times New Roman" w:cs="Times New Roman"/>
          <w:sz w:val="24"/>
          <w:szCs w:val="24"/>
        </w:rPr>
        <w:t>rture or other human rights bodies</w:t>
      </w:r>
      <w:r w:rsidR="002E3FE5" w:rsidRPr="00B57B6A">
        <w:rPr>
          <w:rFonts w:ascii="Times New Roman" w:hAnsi="Times New Roman" w:cs="Times New Roman"/>
          <w:sz w:val="24"/>
          <w:szCs w:val="24"/>
        </w:rPr>
        <w:t xml:space="preserve"> would be helpful.</w:t>
      </w:r>
      <w:r w:rsidRPr="00B57B6A">
        <w:rPr>
          <w:rFonts w:ascii="Times New Roman" w:hAnsi="Times New Roman" w:cs="Times New Roman"/>
          <w:sz w:val="24"/>
          <w:szCs w:val="24"/>
        </w:rPr>
        <w:t xml:space="preserve">  Indeed, an analysis of this kind by an authoritative source like the Special Rapporteur on Torture</w:t>
      </w:r>
      <w:r w:rsidR="00C837D4">
        <w:rPr>
          <w:rFonts w:ascii="Times New Roman" w:hAnsi="Times New Roman" w:cs="Times New Roman"/>
          <w:sz w:val="24"/>
          <w:szCs w:val="24"/>
        </w:rPr>
        <w:t>, the CRPD Committee, or the CRC Committee,</w:t>
      </w:r>
      <w:r w:rsidRPr="00B57B6A">
        <w:rPr>
          <w:rFonts w:ascii="Times New Roman" w:hAnsi="Times New Roman" w:cs="Times New Roman"/>
          <w:sz w:val="24"/>
          <w:szCs w:val="24"/>
        </w:rPr>
        <w:t xml:space="preserve"> could have a powerful impact on future decisions of regional human rights </w:t>
      </w:r>
      <w:r w:rsidR="00655866">
        <w:rPr>
          <w:rFonts w:ascii="Times New Roman" w:hAnsi="Times New Roman" w:cs="Times New Roman"/>
          <w:sz w:val="24"/>
          <w:szCs w:val="24"/>
        </w:rPr>
        <w:t xml:space="preserve">mechanisms. </w:t>
      </w:r>
    </w:p>
    <w:p w14:paraId="72D8F2F1" w14:textId="6B82E417" w:rsidR="002E3FE5" w:rsidRPr="00B57B6A" w:rsidRDefault="00312046"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It</w:t>
      </w:r>
      <w:r w:rsidR="00721E9A">
        <w:rPr>
          <w:rFonts w:ascii="Times New Roman" w:hAnsi="Times New Roman" w:cs="Times New Roman"/>
          <w:sz w:val="24"/>
          <w:szCs w:val="24"/>
        </w:rPr>
        <w:t xml:space="preserve"> is important to recognize </w:t>
      </w:r>
      <w:r w:rsidRPr="00B57B6A">
        <w:rPr>
          <w:rFonts w:ascii="Times New Roman" w:hAnsi="Times New Roman" w:cs="Times New Roman"/>
          <w:sz w:val="24"/>
          <w:szCs w:val="24"/>
        </w:rPr>
        <w:t xml:space="preserve">that </w:t>
      </w:r>
      <w:r w:rsidR="002E3FE5" w:rsidRPr="00B57B6A">
        <w:rPr>
          <w:rFonts w:ascii="Times New Roman" w:hAnsi="Times New Roman" w:cs="Times New Roman"/>
          <w:sz w:val="24"/>
          <w:szCs w:val="24"/>
        </w:rPr>
        <w:t xml:space="preserve">the Méndez Report </w:t>
      </w:r>
      <w:r w:rsidR="002E3FE5" w:rsidRPr="00C837D4">
        <w:rPr>
          <w:rFonts w:ascii="Times New Roman" w:hAnsi="Times New Roman" w:cs="Times New Roman"/>
          <w:i/>
          <w:sz w:val="24"/>
          <w:szCs w:val="24"/>
        </w:rPr>
        <w:t>does not</w:t>
      </w:r>
      <w:r w:rsidR="002E3FE5" w:rsidRPr="00B57B6A">
        <w:rPr>
          <w:rFonts w:ascii="Times New Roman" w:hAnsi="Times New Roman" w:cs="Times New Roman"/>
          <w:sz w:val="24"/>
          <w:szCs w:val="24"/>
        </w:rPr>
        <w:t xml:space="preserve"> rely on a finding that segregation itself const</w:t>
      </w:r>
      <w:r w:rsidRPr="00B57B6A">
        <w:rPr>
          <w:rFonts w:ascii="Times New Roman" w:hAnsi="Times New Roman" w:cs="Times New Roman"/>
          <w:sz w:val="24"/>
          <w:szCs w:val="24"/>
        </w:rPr>
        <w:t>i</w:t>
      </w:r>
      <w:r w:rsidR="00BC4957" w:rsidRPr="00B57B6A">
        <w:rPr>
          <w:rFonts w:ascii="Times New Roman" w:hAnsi="Times New Roman" w:cs="Times New Roman"/>
          <w:sz w:val="24"/>
          <w:szCs w:val="24"/>
        </w:rPr>
        <w:t xml:space="preserve">tutes ill-treatment or torture (except, perhaps, in the case of immigration detention).  </w:t>
      </w:r>
      <w:r w:rsidR="002E3FE5" w:rsidRPr="00B57B6A">
        <w:rPr>
          <w:rFonts w:ascii="Times New Roman" w:hAnsi="Times New Roman" w:cs="Times New Roman"/>
          <w:sz w:val="24"/>
          <w:szCs w:val="24"/>
        </w:rPr>
        <w:t>The Special Rapporte</w:t>
      </w:r>
      <w:r w:rsidR="004A4838">
        <w:rPr>
          <w:rFonts w:ascii="Times New Roman" w:hAnsi="Times New Roman" w:cs="Times New Roman"/>
          <w:sz w:val="24"/>
          <w:szCs w:val="24"/>
        </w:rPr>
        <w:t>u</w:t>
      </w:r>
      <w:r w:rsidR="002E3FE5" w:rsidRPr="00B57B6A">
        <w:rPr>
          <w:rFonts w:ascii="Times New Roman" w:hAnsi="Times New Roman" w:cs="Times New Roman"/>
          <w:sz w:val="24"/>
          <w:szCs w:val="24"/>
        </w:rPr>
        <w:t>r</w:t>
      </w:r>
      <w:r w:rsidR="00BC4957" w:rsidRPr="00B57B6A">
        <w:rPr>
          <w:rFonts w:ascii="Times New Roman" w:hAnsi="Times New Roman" w:cs="Times New Roman"/>
          <w:sz w:val="24"/>
          <w:szCs w:val="24"/>
        </w:rPr>
        <w:t xml:space="preserve"> instead </w:t>
      </w:r>
      <w:r w:rsidR="002E3FE5" w:rsidRPr="00B57B6A">
        <w:rPr>
          <w:rFonts w:ascii="Times New Roman" w:hAnsi="Times New Roman" w:cs="Times New Roman"/>
          <w:sz w:val="24"/>
          <w:szCs w:val="24"/>
        </w:rPr>
        <w:t xml:space="preserve">finds that the </w:t>
      </w:r>
      <w:r w:rsidR="002E3FE5" w:rsidRPr="00B57B6A">
        <w:rPr>
          <w:rFonts w:ascii="Times New Roman" w:hAnsi="Times New Roman" w:cs="Times New Roman"/>
          <w:i/>
          <w:sz w:val="24"/>
          <w:szCs w:val="24"/>
        </w:rPr>
        <w:t>increased risk</w:t>
      </w:r>
      <w:r w:rsidR="002E3FE5" w:rsidRPr="00B57B6A">
        <w:rPr>
          <w:rFonts w:ascii="Times New Roman" w:hAnsi="Times New Roman" w:cs="Times New Roman"/>
          <w:sz w:val="24"/>
          <w:szCs w:val="24"/>
        </w:rPr>
        <w:t xml:space="preserve"> of torture or ill-treatment from institutional placement is sufficient to require governments to establish safeguards and prevent unnecessary commitment. </w:t>
      </w:r>
      <w:r w:rsidR="00C837D4">
        <w:rPr>
          <w:rFonts w:ascii="Times New Roman" w:hAnsi="Times New Roman" w:cs="Times New Roman"/>
          <w:sz w:val="24"/>
          <w:szCs w:val="24"/>
        </w:rPr>
        <w:t>T</w:t>
      </w:r>
      <w:r w:rsidR="00EE2655">
        <w:rPr>
          <w:rFonts w:ascii="Times New Roman" w:hAnsi="Times New Roman" w:cs="Times New Roman"/>
          <w:sz w:val="24"/>
          <w:szCs w:val="24"/>
        </w:rPr>
        <w:t xml:space="preserve">he </w:t>
      </w:r>
      <w:r w:rsidR="002E3FE5" w:rsidRPr="00B57B6A">
        <w:rPr>
          <w:rFonts w:ascii="Times New Roman" w:hAnsi="Times New Roman" w:cs="Times New Roman"/>
          <w:sz w:val="24"/>
          <w:szCs w:val="24"/>
        </w:rPr>
        <w:t xml:space="preserve">creation of community-based services to allow children with and without disabilities to live </w:t>
      </w:r>
      <w:r w:rsidR="000864B0" w:rsidRPr="00B57B6A">
        <w:rPr>
          <w:rFonts w:ascii="Times New Roman" w:hAnsi="Times New Roman" w:cs="Times New Roman"/>
          <w:sz w:val="24"/>
          <w:szCs w:val="24"/>
        </w:rPr>
        <w:t xml:space="preserve">with family and </w:t>
      </w:r>
      <w:r w:rsidR="00016C27">
        <w:rPr>
          <w:rFonts w:ascii="Times New Roman" w:hAnsi="Times New Roman" w:cs="Times New Roman"/>
          <w:sz w:val="24"/>
          <w:szCs w:val="24"/>
        </w:rPr>
        <w:t>i</w:t>
      </w:r>
      <w:r w:rsidR="002E3FE5" w:rsidRPr="00B57B6A">
        <w:rPr>
          <w:rFonts w:ascii="Times New Roman" w:hAnsi="Times New Roman" w:cs="Times New Roman"/>
          <w:sz w:val="24"/>
          <w:szCs w:val="24"/>
        </w:rPr>
        <w:t>n the community</w:t>
      </w:r>
      <w:r w:rsidR="00C837D4">
        <w:rPr>
          <w:rFonts w:ascii="Times New Roman" w:hAnsi="Times New Roman" w:cs="Times New Roman"/>
          <w:sz w:val="24"/>
          <w:szCs w:val="24"/>
        </w:rPr>
        <w:t>, as called for by the</w:t>
      </w:r>
      <w:r w:rsidR="00C837D4" w:rsidRPr="00C837D4">
        <w:rPr>
          <w:rFonts w:ascii="Times New Roman" w:hAnsi="Times New Roman" w:cs="Times New Roman"/>
          <w:sz w:val="24"/>
          <w:szCs w:val="24"/>
        </w:rPr>
        <w:t xml:space="preserve"> </w:t>
      </w:r>
      <w:r w:rsidR="00C837D4" w:rsidRPr="00B57B6A">
        <w:rPr>
          <w:rFonts w:ascii="Times New Roman" w:hAnsi="Times New Roman" w:cs="Times New Roman"/>
          <w:sz w:val="24"/>
          <w:szCs w:val="24"/>
        </w:rPr>
        <w:t xml:space="preserve">Méndez </w:t>
      </w:r>
      <w:r w:rsidR="00C837D4" w:rsidRPr="00B57B6A">
        <w:rPr>
          <w:rFonts w:ascii="Times New Roman" w:hAnsi="Times New Roman" w:cs="Times New Roman"/>
          <w:sz w:val="24"/>
          <w:szCs w:val="24"/>
        </w:rPr>
        <w:lastRenderedPageBreak/>
        <w:t>Report</w:t>
      </w:r>
      <w:r w:rsidR="00C837D4">
        <w:rPr>
          <w:rFonts w:ascii="Times New Roman" w:hAnsi="Times New Roman" w:cs="Times New Roman"/>
          <w:sz w:val="24"/>
          <w:szCs w:val="24"/>
        </w:rPr>
        <w:t xml:space="preserve">, must be </w:t>
      </w:r>
      <w:r w:rsidR="000864B0" w:rsidRPr="00B57B6A">
        <w:rPr>
          <w:rFonts w:ascii="Times New Roman" w:hAnsi="Times New Roman" w:cs="Times New Roman"/>
          <w:sz w:val="24"/>
          <w:szCs w:val="24"/>
        </w:rPr>
        <w:t>seen as a</w:t>
      </w:r>
      <w:r w:rsidR="00C837D4">
        <w:rPr>
          <w:rFonts w:ascii="Times New Roman" w:hAnsi="Times New Roman" w:cs="Times New Roman"/>
          <w:sz w:val="24"/>
          <w:szCs w:val="24"/>
        </w:rPr>
        <w:t>n essential</w:t>
      </w:r>
      <w:r w:rsidR="000864B0" w:rsidRPr="00B57B6A">
        <w:rPr>
          <w:rFonts w:ascii="Times New Roman" w:hAnsi="Times New Roman" w:cs="Times New Roman"/>
          <w:sz w:val="24"/>
          <w:szCs w:val="24"/>
        </w:rPr>
        <w:t xml:space="preserve"> “safeguard” against ill-treatment or torture</w:t>
      </w:r>
      <w:r w:rsidR="002E3FE5" w:rsidRPr="00B57B6A">
        <w:rPr>
          <w:rFonts w:ascii="Times New Roman" w:hAnsi="Times New Roman" w:cs="Times New Roman"/>
          <w:sz w:val="24"/>
          <w:szCs w:val="24"/>
        </w:rPr>
        <w:t xml:space="preserve">. </w:t>
      </w:r>
      <w:r w:rsidR="00C837D4">
        <w:rPr>
          <w:rFonts w:ascii="Times New Roman" w:hAnsi="Times New Roman" w:cs="Times New Roman"/>
          <w:sz w:val="24"/>
          <w:szCs w:val="24"/>
        </w:rPr>
        <w:t xml:space="preserve"> As recognized by the CRPD, t</w:t>
      </w:r>
      <w:r w:rsidR="000864B0" w:rsidRPr="00B57B6A">
        <w:rPr>
          <w:rFonts w:ascii="Times New Roman" w:hAnsi="Times New Roman" w:cs="Times New Roman"/>
          <w:sz w:val="24"/>
          <w:szCs w:val="24"/>
        </w:rPr>
        <w:t>he right to live with a family has value in and of itself. The services that help children stay with their families</w:t>
      </w:r>
      <w:r w:rsidR="00C837D4">
        <w:rPr>
          <w:rFonts w:ascii="Times New Roman" w:hAnsi="Times New Roman" w:cs="Times New Roman"/>
          <w:sz w:val="24"/>
          <w:szCs w:val="24"/>
        </w:rPr>
        <w:t>, however,</w:t>
      </w:r>
      <w:r w:rsidR="000864B0" w:rsidRPr="00B57B6A">
        <w:rPr>
          <w:rFonts w:ascii="Times New Roman" w:hAnsi="Times New Roman" w:cs="Times New Roman"/>
          <w:sz w:val="24"/>
          <w:szCs w:val="24"/>
        </w:rPr>
        <w:t xml:space="preserve"> also protect children against the risk of torture in an institution. </w:t>
      </w:r>
      <w:r w:rsidR="002E3FE5" w:rsidRPr="00B57B6A">
        <w:rPr>
          <w:rFonts w:ascii="Times New Roman" w:hAnsi="Times New Roman" w:cs="Times New Roman"/>
          <w:sz w:val="24"/>
          <w:szCs w:val="24"/>
        </w:rPr>
        <w:t>The Méndez Report s</w:t>
      </w:r>
      <w:r w:rsidR="00F66DAF">
        <w:rPr>
          <w:rFonts w:ascii="Times New Roman" w:hAnsi="Times New Roman" w:cs="Times New Roman"/>
          <w:sz w:val="24"/>
          <w:szCs w:val="24"/>
        </w:rPr>
        <w:t>tates that</w:t>
      </w:r>
      <w:r w:rsidR="002E3FE5" w:rsidRPr="00B57B6A">
        <w:rPr>
          <w:rFonts w:ascii="Times New Roman" w:hAnsi="Times New Roman" w:cs="Times New Roman"/>
          <w:sz w:val="24"/>
          <w:szCs w:val="24"/>
        </w:rPr>
        <w:t>:</w:t>
      </w:r>
    </w:p>
    <w:p w14:paraId="07ED0955" w14:textId="7ED01312" w:rsidR="002E3FE5" w:rsidRPr="00B57B6A" w:rsidRDefault="002E3FE5" w:rsidP="00B57B6A">
      <w:pPr>
        <w:spacing w:line="240" w:lineRule="auto"/>
        <w:ind w:left="720" w:right="720"/>
        <w:jc w:val="both"/>
        <w:rPr>
          <w:rFonts w:ascii="Times New Roman" w:eastAsia="Arial Unicode MS" w:hAnsi="Times New Roman" w:cs="Times New Roman"/>
          <w:color w:val="000000"/>
          <w:sz w:val="24"/>
          <w:szCs w:val="24"/>
          <w:u w:color="000000"/>
        </w:rPr>
      </w:pPr>
      <w:r w:rsidRPr="00B57B6A">
        <w:rPr>
          <w:rFonts w:ascii="Times New Roman" w:eastAsia="Arial Unicode MS" w:hAnsi="Times New Roman" w:cs="Times New Roman"/>
          <w:color w:val="000000"/>
          <w:sz w:val="24"/>
          <w:szCs w:val="24"/>
          <w:u w:color="000000"/>
        </w:rPr>
        <w:t xml:space="preserve">Alternatives to detention must be given priority in order to prevent torture and the ill-treatment of children. This includes access to </w:t>
      </w:r>
      <w:r w:rsidR="006134D0" w:rsidRPr="00B57B6A">
        <w:rPr>
          <w:rFonts w:ascii="Times New Roman" w:eastAsia="Arial Unicode MS" w:hAnsi="Times New Roman" w:cs="Times New Roman"/>
          <w:color w:val="000000"/>
          <w:sz w:val="24"/>
          <w:szCs w:val="24"/>
          <w:u w:color="000000"/>
        </w:rPr>
        <w:t>counseling</w:t>
      </w:r>
      <w:r w:rsidRPr="00B57B6A">
        <w:rPr>
          <w:rFonts w:ascii="Times New Roman" w:eastAsia="Arial Unicode MS" w:hAnsi="Times New Roman" w:cs="Times New Roman"/>
          <w:color w:val="000000"/>
          <w:sz w:val="24"/>
          <w:szCs w:val="24"/>
          <w:u w:color="000000"/>
        </w:rPr>
        <w:t>, probation and community services, including mediation</w:t>
      </w:r>
      <w:r w:rsidRPr="00B57B6A">
        <w:rPr>
          <w:rFonts w:ascii="Times New Roman" w:eastAsia="Arial Unicode MS" w:hAnsi="Times New Roman" w:cs="Times New Roman"/>
          <w:b/>
          <w:color w:val="000000"/>
          <w:sz w:val="24"/>
          <w:szCs w:val="24"/>
          <w:u w:color="000000"/>
        </w:rPr>
        <w:t xml:space="preserve"> </w:t>
      </w:r>
      <w:r w:rsidRPr="00B57B6A">
        <w:rPr>
          <w:rFonts w:ascii="Times New Roman" w:eastAsia="Arial Unicode MS" w:hAnsi="Times New Roman" w:cs="Times New Roman"/>
          <w:color w:val="000000"/>
          <w:sz w:val="24"/>
          <w:szCs w:val="24"/>
          <w:u w:color="000000"/>
        </w:rPr>
        <w:t>services and restorative justice.</w:t>
      </w:r>
      <w:r w:rsidRPr="00B57B6A">
        <w:rPr>
          <w:rStyle w:val="FootnoteReference"/>
          <w:rFonts w:ascii="Times New Roman" w:hAnsi="Times New Roman" w:cs="Times New Roman"/>
          <w:sz w:val="24"/>
          <w:szCs w:val="24"/>
        </w:rPr>
        <w:footnoteReference w:id="114"/>
      </w:r>
    </w:p>
    <w:p w14:paraId="2B8BA612" w14:textId="50A4BD57" w:rsidR="002E3FE5" w:rsidRPr="00B57B6A" w:rsidRDefault="002E3FE5" w:rsidP="00B57B6A">
      <w:pPr>
        <w:spacing w:line="240" w:lineRule="auto"/>
        <w:ind w:right="720"/>
        <w:jc w:val="both"/>
        <w:rPr>
          <w:rFonts w:ascii="Times New Roman" w:hAnsi="Times New Roman" w:cs="Times New Roman"/>
          <w:sz w:val="24"/>
          <w:szCs w:val="24"/>
        </w:rPr>
      </w:pPr>
      <w:r w:rsidRPr="00B57B6A">
        <w:rPr>
          <w:rFonts w:ascii="Times New Roman" w:hAnsi="Times New Roman" w:cs="Times New Roman"/>
          <w:sz w:val="24"/>
          <w:szCs w:val="24"/>
        </w:rPr>
        <w:t>The report gives further details, calling on governments “to provide for a variety of non-custodial, community-based alternative measures to the deprivation of liberty.”</w:t>
      </w:r>
      <w:r w:rsidRPr="00B57B6A">
        <w:rPr>
          <w:rFonts w:ascii="Times New Roman" w:hAnsi="Times New Roman" w:cs="Times New Roman"/>
          <w:sz w:val="24"/>
          <w:szCs w:val="24"/>
          <w:vertAlign w:val="superscript"/>
        </w:rPr>
        <w:footnoteReference w:id="115"/>
      </w:r>
      <w:r w:rsidRPr="00B57B6A">
        <w:rPr>
          <w:rFonts w:ascii="Times New Roman" w:hAnsi="Times New Roman" w:cs="Times New Roman"/>
          <w:sz w:val="24"/>
          <w:szCs w:val="24"/>
        </w:rPr>
        <w:t xml:space="preserve"> This is consistent with the </w:t>
      </w:r>
      <w:r w:rsidR="00BC4957" w:rsidRPr="00B57B6A">
        <w:rPr>
          <w:rFonts w:ascii="Times New Roman" w:hAnsi="Times New Roman" w:cs="Times New Roman"/>
          <w:sz w:val="24"/>
          <w:szCs w:val="24"/>
        </w:rPr>
        <w:t xml:space="preserve">2013 </w:t>
      </w:r>
      <w:r w:rsidRPr="00B57B6A">
        <w:rPr>
          <w:rFonts w:ascii="Times New Roman" w:hAnsi="Times New Roman" w:cs="Times New Roman"/>
          <w:sz w:val="24"/>
          <w:szCs w:val="24"/>
        </w:rPr>
        <w:t>Torture in Health Care Report, which states that “community living, with support, is no longer a favourable policy development but an internationally recognized right.”</w:t>
      </w:r>
      <w:r w:rsidRPr="00B57B6A">
        <w:rPr>
          <w:rFonts w:ascii="Times New Roman" w:hAnsi="Times New Roman" w:cs="Times New Roman"/>
          <w:sz w:val="24"/>
          <w:szCs w:val="24"/>
          <w:vertAlign w:val="superscript"/>
        </w:rPr>
        <w:footnoteReference w:id="116"/>
      </w:r>
    </w:p>
    <w:p w14:paraId="276ED01D" w14:textId="20B48002" w:rsidR="002E3FE5" w:rsidRPr="00B57B6A" w:rsidRDefault="005539E2" w:rsidP="00B57B6A">
      <w:pPr>
        <w:pStyle w:val="Heading2"/>
        <w:numPr>
          <w:ilvl w:val="0"/>
          <w:numId w:val="26"/>
        </w:numPr>
        <w:spacing w:line="240" w:lineRule="auto"/>
        <w:rPr>
          <w:rFonts w:ascii="Times New Roman" w:hAnsi="Times New Roman" w:cs="Times New Roman"/>
          <w:sz w:val="24"/>
          <w:szCs w:val="24"/>
        </w:rPr>
      </w:pPr>
      <w:bookmarkStart w:id="52" w:name="_Toc471468474"/>
      <w:r w:rsidRPr="00B57B6A">
        <w:rPr>
          <w:rFonts w:ascii="Times New Roman" w:hAnsi="Times New Roman" w:cs="Times New Roman"/>
          <w:sz w:val="24"/>
          <w:szCs w:val="24"/>
        </w:rPr>
        <w:t>Duty to protect against segregation</w:t>
      </w:r>
      <w:bookmarkEnd w:id="52"/>
    </w:p>
    <w:p w14:paraId="7770CB17" w14:textId="1775480F" w:rsidR="005563D8" w:rsidRPr="00B57B6A" w:rsidRDefault="005563D8" w:rsidP="00B57B6A">
      <w:pPr>
        <w:spacing w:line="240" w:lineRule="auto"/>
        <w:rPr>
          <w:rFonts w:ascii="Times New Roman" w:hAnsi="Times New Roman" w:cs="Times New Roman"/>
          <w:sz w:val="24"/>
          <w:szCs w:val="24"/>
        </w:rPr>
      </w:pPr>
      <w:r w:rsidRPr="00B57B6A">
        <w:rPr>
          <w:rFonts w:ascii="Times New Roman" w:hAnsi="Times New Roman" w:cs="Times New Roman"/>
          <w:sz w:val="24"/>
          <w:szCs w:val="24"/>
        </w:rPr>
        <w:t xml:space="preserve">The right to community integration </w:t>
      </w:r>
      <w:r w:rsidR="003532E4" w:rsidRPr="00B57B6A">
        <w:rPr>
          <w:rFonts w:ascii="Times New Roman" w:hAnsi="Times New Roman" w:cs="Times New Roman"/>
          <w:sz w:val="24"/>
          <w:szCs w:val="24"/>
        </w:rPr>
        <w:t xml:space="preserve">applies to both children and adults and </w:t>
      </w:r>
      <w:r w:rsidRPr="00B57B6A">
        <w:rPr>
          <w:rFonts w:ascii="Times New Roman" w:hAnsi="Times New Roman" w:cs="Times New Roman"/>
          <w:sz w:val="24"/>
          <w:szCs w:val="24"/>
        </w:rPr>
        <w:t xml:space="preserve">has been broadly recognized </w:t>
      </w:r>
      <w:r w:rsidR="003532E4" w:rsidRPr="00B57B6A">
        <w:rPr>
          <w:rFonts w:ascii="Times New Roman" w:hAnsi="Times New Roman" w:cs="Times New Roman"/>
          <w:sz w:val="24"/>
          <w:szCs w:val="24"/>
        </w:rPr>
        <w:t>as essential to the protection of a number of overlapping areas of rights</w:t>
      </w:r>
      <w:r w:rsidR="00C837D4">
        <w:rPr>
          <w:rFonts w:ascii="Times New Roman" w:hAnsi="Times New Roman" w:cs="Times New Roman"/>
          <w:sz w:val="24"/>
          <w:szCs w:val="24"/>
        </w:rPr>
        <w:t>, including the protection against discrimination and the right to health</w:t>
      </w:r>
      <w:r w:rsidR="003532E4" w:rsidRPr="00B57B6A">
        <w:rPr>
          <w:rFonts w:ascii="Times New Roman" w:hAnsi="Times New Roman" w:cs="Times New Roman"/>
          <w:sz w:val="24"/>
          <w:szCs w:val="24"/>
        </w:rPr>
        <w:t xml:space="preserve">. </w:t>
      </w:r>
      <w:r w:rsidRPr="00B57B6A">
        <w:rPr>
          <w:rFonts w:ascii="Times New Roman" w:hAnsi="Times New Roman" w:cs="Times New Roman"/>
          <w:sz w:val="24"/>
          <w:szCs w:val="24"/>
        </w:rPr>
        <w:t>The UN Special Rapporteur on the Right to Health, Paul Hunt, has stated</w:t>
      </w:r>
      <w:r w:rsidR="003532E4" w:rsidRPr="00B57B6A">
        <w:rPr>
          <w:rFonts w:ascii="Times New Roman" w:hAnsi="Times New Roman" w:cs="Times New Roman"/>
          <w:sz w:val="24"/>
          <w:szCs w:val="24"/>
        </w:rPr>
        <w:t>, for example</w:t>
      </w:r>
      <w:r w:rsidRPr="00B57B6A">
        <w:rPr>
          <w:rFonts w:ascii="Times New Roman" w:hAnsi="Times New Roman" w:cs="Times New Roman"/>
          <w:sz w:val="24"/>
          <w:szCs w:val="24"/>
        </w:rPr>
        <w:t>:</w:t>
      </w:r>
    </w:p>
    <w:p w14:paraId="27A64C82" w14:textId="5537171A" w:rsidR="005563D8" w:rsidRPr="00B57B6A" w:rsidRDefault="005563D8" w:rsidP="00BA146B">
      <w:pPr>
        <w:spacing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Deriving from the right to health and other human rights, the right to community integration has general application to all persons with mental disabilities.  Community integration better supports their dignity, autonomy, equality, and participation in society.  It helps prevent institutionalization, which can render persons with mental disabilities vulnerable to human rights abuses and damage their health on account of the mental burdens of segregation.</w:t>
      </w:r>
      <w:r w:rsidRPr="00B57B6A">
        <w:rPr>
          <w:rStyle w:val="FootnoteReference"/>
          <w:rFonts w:ascii="Times New Roman" w:hAnsi="Times New Roman" w:cs="Times New Roman"/>
          <w:sz w:val="24"/>
          <w:szCs w:val="24"/>
        </w:rPr>
        <w:footnoteReference w:id="117"/>
      </w:r>
    </w:p>
    <w:p w14:paraId="01B93754" w14:textId="7ED6B823" w:rsidR="005539E2" w:rsidRPr="00B57B6A" w:rsidRDefault="005539E2" w:rsidP="00BA146B">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For children, this right </w:t>
      </w:r>
      <w:r w:rsidR="006A3B1B" w:rsidRPr="00B57B6A">
        <w:rPr>
          <w:rFonts w:ascii="Times New Roman" w:hAnsi="Times New Roman" w:cs="Times New Roman"/>
          <w:sz w:val="24"/>
          <w:szCs w:val="24"/>
        </w:rPr>
        <w:t>to community integration is closely related to –</w:t>
      </w:r>
      <w:r w:rsidR="003E55E1">
        <w:rPr>
          <w:rFonts w:ascii="Times New Roman" w:hAnsi="Times New Roman" w:cs="Times New Roman"/>
          <w:sz w:val="24"/>
          <w:szCs w:val="24"/>
        </w:rPr>
        <w:t xml:space="preserve"> but distinct from </w:t>
      </w:r>
      <w:r w:rsidR="003E55E1" w:rsidRPr="00B57B6A">
        <w:rPr>
          <w:rFonts w:ascii="Times New Roman" w:hAnsi="Times New Roman" w:cs="Times New Roman"/>
          <w:sz w:val="24"/>
          <w:szCs w:val="24"/>
        </w:rPr>
        <w:t>–</w:t>
      </w:r>
      <w:r w:rsidR="003E55E1">
        <w:rPr>
          <w:rFonts w:ascii="Times New Roman" w:hAnsi="Times New Roman" w:cs="Times New Roman"/>
          <w:sz w:val="24"/>
          <w:szCs w:val="24"/>
        </w:rPr>
        <w:t xml:space="preserve"> </w:t>
      </w:r>
      <w:r w:rsidRPr="00B57B6A">
        <w:rPr>
          <w:rFonts w:ascii="Times New Roman" w:hAnsi="Times New Roman" w:cs="Times New Roman"/>
          <w:sz w:val="24"/>
          <w:szCs w:val="24"/>
        </w:rPr>
        <w:t>the right to grow up with a family. Both the ICCPR</w:t>
      </w:r>
      <w:r w:rsidR="00022530" w:rsidRPr="00B57B6A">
        <w:rPr>
          <w:rStyle w:val="FootnoteReference"/>
          <w:rFonts w:ascii="Times New Roman" w:hAnsi="Times New Roman" w:cs="Times New Roman"/>
          <w:sz w:val="24"/>
          <w:szCs w:val="24"/>
        </w:rPr>
        <w:footnoteReference w:id="118"/>
      </w:r>
      <w:r w:rsidRPr="00B57B6A">
        <w:rPr>
          <w:rFonts w:ascii="Times New Roman" w:hAnsi="Times New Roman" w:cs="Times New Roman"/>
          <w:sz w:val="24"/>
          <w:szCs w:val="24"/>
        </w:rPr>
        <w:t xml:space="preserve"> and the International Covenant on Economic, Social, and Cultural Rights (ICESCR) require government</w:t>
      </w:r>
      <w:r w:rsidR="00E555C6" w:rsidRPr="00B57B6A">
        <w:rPr>
          <w:rFonts w:ascii="Times New Roman" w:hAnsi="Times New Roman" w:cs="Times New Roman"/>
          <w:sz w:val="24"/>
          <w:szCs w:val="24"/>
        </w:rPr>
        <w:t>s</w:t>
      </w:r>
      <w:r w:rsidRPr="00B57B6A">
        <w:rPr>
          <w:rFonts w:ascii="Times New Roman" w:hAnsi="Times New Roman" w:cs="Times New Roman"/>
          <w:sz w:val="24"/>
          <w:szCs w:val="24"/>
        </w:rPr>
        <w:t xml:space="preserve"> to protect the family. The ICESCR states that “the widest possible protection and assistance should be accorded to the family, which is the natural and fundamental group of society.”</w:t>
      </w:r>
      <w:r w:rsidRPr="00B57B6A">
        <w:rPr>
          <w:rStyle w:val="FootnoteReference"/>
          <w:rFonts w:ascii="Times New Roman" w:hAnsi="Times New Roman" w:cs="Times New Roman"/>
          <w:sz w:val="24"/>
          <w:szCs w:val="24"/>
        </w:rPr>
        <w:footnoteReference w:id="119"/>
      </w:r>
      <w:r w:rsidR="00022530" w:rsidRPr="00B57B6A">
        <w:rPr>
          <w:rFonts w:ascii="Times New Roman" w:hAnsi="Times New Roman" w:cs="Times New Roman"/>
          <w:sz w:val="24"/>
          <w:szCs w:val="24"/>
        </w:rPr>
        <w:t xml:space="preserve"> Article 9(1) of the Convention on the Rights of the Child (CRC) requires governments to ensure that “a child shall not be separated from his or her parents against their will, except when competent authorities subject to judicial review determine … that such separation is necessary for the best interest of the child.”</w:t>
      </w:r>
    </w:p>
    <w:p w14:paraId="2B3877A9" w14:textId="0A6787A4" w:rsidR="00A2334D" w:rsidRPr="00354936" w:rsidRDefault="00E555C6" w:rsidP="00BA146B">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CRC does not explicitly protect the right of a child to grow up with a family, but it does require government</w:t>
      </w:r>
      <w:r w:rsidR="00DD0644">
        <w:rPr>
          <w:rFonts w:ascii="Times New Roman" w:hAnsi="Times New Roman" w:cs="Times New Roman"/>
          <w:sz w:val="24"/>
          <w:szCs w:val="24"/>
        </w:rPr>
        <w:t>s</w:t>
      </w:r>
      <w:r w:rsidRPr="00B57B6A">
        <w:rPr>
          <w:rFonts w:ascii="Times New Roman" w:hAnsi="Times New Roman" w:cs="Times New Roman"/>
          <w:sz w:val="24"/>
          <w:szCs w:val="24"/>
        </w:rPr>
        <w:t xml:space="preserve"> to create services that allow for “the fullest possible” social integration.   </w:t>
      </w:r>
      <w:r w:rsidR="001F419F" w:rsidRPr="00B57B6A">
        <w:rPr>
          <w:rFonts w:ascii="Times New Roman" w:hAnsi="Times New Roman" w:cs="Times New Roman"/>
          <w:sz w:val="24"/>
          <w:szCs w:val="24"/>
        </w:rPr>
        <w:t xml:space="preserve">Article 23 of the CRC includes one of the first direct references to children with disabilities in international treaty law by recognizing that “a mentally or physically disabled child should enjoy </w:t>
      </w:r>
      <w:r w:rsidR="001F419F" w:rsidRPr="00B57B6A">
        <w:rPr>
          <w:rFonts w:ascii="Times New Roman" w:hAnsi="Times New Roman" w:cs="Times New Roman"/>
          <w:sz w:val="24"/>
          <w:szCs w:val="24"/>
        </w:rPr>
        <w:lastRenderedPageBreak/>
        <w:t xml:space="preserve">a full and decent life, in conditions which ensure dignity, </w:t>
      </w:r>
      <w:r w:rsidR="001F419F" w:rsidRPr="00354936">
        <w:rPr>
          <w:rFonts w:ascii="Times New Roman" w:hAnsi="Times New Roman" w:cs="Times New Roman"/>
          <w:sz w:val="24"/>
          <w:szCs w:val="24"/>
        </w:rPr>
        <w:t>promote self-reliance and facilitate the child’s active participation in the community.” It goes on to describe the range of services governments must provide for children with dis</w:t>
      </w:r>
      <w:r w:rsidR="001F419F" w:rsidRPr="005E7CF1">
        <w:rPr>
          <w:rFonts w:ascii="Times New Roman" w:hAnsi="Times New Roman" w:cs="Times New Roman"/>
          <w:sz w:val="24"/>
          <w:szCs w:val="24"/>
        </w:rPr>
        <w:t xml:space="preserve">abilities “in </w:t>
      </w:r>
      <w:r w:rsidR="005536E2" w:rsidRPr="005E7CF1">
        <w:rPr>
          <w:rFonts w:ascii="Times New Roman" w:hAnsi="Times New Roman" w:cs="Times New Roman"/>
          <w:sz w:val="24"/>
          <w:szCs w:val="24"/>
        </w:rPr>
        <w:t xml:space="preserve">a </w:t>
      </w:r>
      <w:r w:rsidR="001F419F" w:rsidRPr="005E7CF1">
        <w:rPr>
          <w:rFonts w:ascii="Times New Roman" w:hAnsi="Times New Roman" w:cs="Times New Roman"/>
          <w:sz w:val="24"/>
          <w:szCs w:val="24"/>
        </w:rPr>
        <w:t>manner conducive to the child’s achieving the fullest possible social integration and individual development.”</w:t>
      </w:r>
      <w:r w:rsidR="001F419F" w:rsidRPr="00354936">
        <w:rPr>
          <w:rStyle w:val="FootnoteReference"/>
          <w:rFonts w:ascii="Times New Roman" w:hAnsi="Times New Roman" w:cs="Times New Roman"/>
          <w:sz w:val="24"/>
          <w:szCs w:val="24"/>
        </w:rPr>
        <w:footnoteReference w:id="120"/>
      </w:r>
      <w:r w:rsidR="007E4646" w:rsidRPr="00354936">
        <w:rPr>
          <w:rFonts w:ascii="Times New Roman" w:hAnsi="Times New Roman" w:cs="Times New Roman"/>
          <w:sz w:val="24"/>
          <w:szCs w:val="24"/>
        </w:rPr>
        <w:t xml:space="preserve">  Cutting edge as this provision was at the time, concerns have been raised by disability experts about its emphasis on “special care” and its medicalized approach to community integration.</w:t>
      </w:r>
      <w:bookmarkStart w:id="53" w:name="_Ref465947796"/>
      <w:r w:rsidR="007E4646" w:rsidRPr="00354936">
        <w:rPr>
          <w:rStyle w:val="FootnoteReference"/>
          <w:rFonts w:ascii="Times New Roman" w:hAnsi="Times New Roman" w:cs="Times New Roman"/>
          <w:sz w:val="24"/>
          <w:szCs w:val="24"/>
        </w:rPr>
        <w:footnoteReference w:id="121"/>
      </w:r>
      <w:bookmarkEnd w:id="53"/>
      <w:r w:rsidR="007E4646" w:rsidRPr="00354936">
        <w:rPr>
          <w:rFonts w:ascii="Times New Roman" w:hAnsi="Times New Roman" w:cs="Times New Roman"/>
          <w:sz w:val="24"/>
          <w:szCs w:val="24"/>
        </w:rPr>
        <w:t xml:space="preserve"> </w:t>
      </w:r>
    </w:p>
    <w:p w14:paraId="27341E25" w14:textId="6F6D3EA1" w:rsidR="001F419F" w:rsidRPr="00354936" w:rsidRDefault="001F419F" w:rsidP="00BA146B">
      <w:pPr>
        <w:spacing w:line="240" w:lineRule="auto"/>
        <w:jc w:val="both"/>
        <w:rPr>
          <w:rFonts w:ascii="Times New Roman" w:hAnsi="Times New Roman" w:cs="Times New Roman"/>
          <w:sz w:val="24"/>
          <w:szCs w:val="24"/>
        </w:rPr>
      </w:pPr>
      <w:r w:rsidRPr="005E7CF1">
        <w:rPr>
          <w:rFonts w:ascii="Times New Roman" w:hAnsi="Times New Roman" w:cs="Times New Roman"/>
          <w:sz w:val="24"/>
          <w:szCs w:val="24"/>
        </w:rPr>
        <w:t>The CRC has been enormously influential in protecting the rights of children in institutions. The United Nations General Assembly adopted the “Guidelines for Alternative Care” to “[a]ssist and</w:t>
      </w:r>
      <w:r w:rsidRPr="002E00E4">
        <w:rPr>
          <w:rFonts w:ascii="Times New Roman" w:hAnsi="Times New Roman" w:cs="Times New Roman"/>
          <w:sz w:val="24"/>
          <w:szCs w:val="24"/>
        </w:rPr>
        <w:t xml:space="preserve"> encourage government</w:t>
      </w:r>
      <w:r w:rsidR="002268B7" w:rsidRPr="00354936">
        <w:rPr>
          <w:rFonts w:ascii="Times New Roman" w:hAnsi="Times New Roman" w:cs="Times New Roman"/>
          <w:sz w:val="24"/>
          <w:szCs w:val="24"/>
        </w:rPr>
        <w:t>s</w:t>
      </w:r>
      <w:r w:rsidRPr="00354936">
        <w:rPr>
          <w:rFonts w:ascii="Times New Roman" w:hAnsi="Times New Roman" w:cs="Times New Roman"/>
          <w:sz w:val="24"/>
          <w:szCs w:val="24"/>
        </w:rPr>
        <w:t xml:space="preserve"> to better implement their responsibilities and obligations” </w:t>
      </w:r>
      <w:r w:rsidR="00FD464E" w:rsidRPr="00354936">
        <w:rPr>
          <w:rFonts w:ascii="Times New Roman" w:hAnsi="Times New Roman" w:cs="Times New Roman"/>
          <w:sz w:val="24"/>
          <w:szCs w:val="24"/>
        </w:rPr>
        <w:t>to children.”</w:t>
      </w:r>
      <w:r w:rsidR="00FD464E" w:rsidRPr="00354936">
        <w:rPr>
          <w:rStyle w:val="FootnoteReference"/>
          <w:rFonts w:ascii="Times New Roman" w:hAnsi="Times New Roman" w:cs="Times New Roman"/>
          <w:sz w:val="24"/>
          <w:szCs w:val="24"/>
        </w:rPr>
        <w:footnoteReference w:id="122"/>
      </w:r>
    </w:p>
    <w:p w14:paraId="3B5578A0" w14:textId="0379ABA7" w:rsidR="00FD464E" w:rsidRPr="005E7CF1" w:rsidRDefault="00FD464E" w:rsidP="00BA146B">
      <w:pPr>
        <w:spacing w:line="240" w:lineRule="auto"/>
        <w:jc w:val="both"/>
        <w:rPr>
          <w:rFonts w:ascii="Times New Roman" w:hAnsi="Times New Roman" w:cs="Times New Roman"/>
          <w:sz w:val="24"/>
          <w:szCs w:val="24"/>
        </w:rPr>
      </w:pPr>
      <w:r w:rsidRPr="005E7CF1">
        <w:rPr>
          <w:rFonts w:ascii="Times New Roman" w:hAnsi="Times New Roman" w:cs="Times New Roman"/>
          <w:sz w:val="24"/>
          <w:szCs w:val="24"/>
        </w:rPr>
        <w:t>The Guidelines are in some ways more progressive than the language of the CRC itself, which includes some language about institutions that may now be outdated</w:t>
      </w:r>
      <w:r w:rsidRPr="002E00E4">
        <w:rPr>
          <w:rFonts w:ascii="Times New Roman" w:hAnsi="Times New Roman" w:cs="Times New Roman"/>
          <w:sz w:val="24"/>
          <w:szCs w:val="24"/>
        </w:rPr>
        <w:t xml:space="preserve">. Article 20 of the CRC concerns the rights of children </w:t>
      </w:r>
      <w:r w:rsidR="00354936">
        <w:rPr>
          <w:rFonts w:ascii="Times New Roman" w:hAnsi="Times New Roman" w:cs="Times New Roman"/>
          <w:sz w:val="24"/>
          <w:szCs w:val="24"/>
        </w:rPr>
        <w:t>“</w:t>
      </w:r>
      <w:r w:rsidRPr="00354936">
        <w:rPr>
          <w:rFonts w:ascii="Times New Roman" w:hAnsi="Times New Roman" w:cs="Times New Roman"/>
          <w:sz w:val="24"/>
          <w:szCs w:val="24"/>
        </w:rPr>
        <w:t>in whose own best interests cannot be allowed to remain”</w:t>
      </w:r>
      <w:r w:rsidRPr="005E7CF1">
        <w:rPr>
          <w:rFonts w:ascii="Times New Roman" w:hAnsi="Times New Roman" w:cs="Times New Roman"/>
          <w:sz w:val="24"/>
          <w:szCs w:val="24"/>
        </w:rPr>
        <w:t xml:space="preserve"> in</w:t>
      </w:r>
      <w:r w:rsidRPr="00B57B6A">
        <w:rPr>
          <w:rFonts w:ascii="Times New Roman" w:hAnsi="Times New Roman" w:cs="Times New Roman"/>
          <w:sz w:val="24"/>
          <w:szCs w:val="24"/>
        </w:rPr>
        <w:t xml:space="preserve"> their family and deserve “special protection and assistance.” </w:t>
      </w:r>
      <w:r w:rsidR="003E55E1">
        <w:rPr>
          <w:rFonts w:ascii="Times New Roman" w:hAnsi="Times New Roman" w:cs="Times New Roman"/>
          <w:sz w:val="24"/>
          <w:szCs w:val="24"/>
        </w:rPr>
        <w:t>T</w:t>
      </w:r>
      <w:r w:rsidRPr="00B57B6A">
        <w:rPr>
          <w:rFonts w:ascii="Times New Roman" w:hAnsi="Times New Roman" w:cs="Times New Roman"/>
          <w:sz w:val="24"/>
          <w:szCs w:val="24"/>
        </w:rPr>
        <w:t xml:space="preserve">hese children should be placed in “alternative care” which “could include, </w:t>
      </w:r>
      <w:r w:rsidRPr="00B57B6A">
        <w:rPr>
          <w:rFonts w:ascii="Times New Roman" w:hAnsi="Times New Roman" w:cs="Times New Roman"/>
          <w:i/>
          <w:sz w:val="24"/>
          <w:szCs w:val="24"/>
        </w:rPr>
        <w:t>inter alia</w:t>
      </w:r>
      <w:r w:rsidRPr="00B57B6A">
        <w:rPr>
          <w:rFonts w:ascii="Times New Roman" w:hAnsi="Times New Roman" w:cs="Times New Roman"/>
          <w:sz w:val="24"/>
          <w:szCs w:val="24"/>
        </w:rPr>
        <w:t xml:space="preserve">, foster placement, </w:t>
      </w:r>
      <w:r w:rsidRPr="00B57B6A">
        <w:rPr>
          <w:rFonts w:ascii="Times New Roman" w:hAnsi="Times New Roman" w:cs="Times New Roman"/>
          <w:i/>
          <w:sz w:val="24"/>
          <w:szCs w:val="24"/>
        </w:rPr>
        <w:t xml:space="preserve">kafalah </w:t>
      </w:r>
      <w:r w:rsidRPr="00B57B6A">
        <w:rPr>
          <w:rFonts w:ascii="Times New Roman" w:hAnsi="Times New Roman" w:cs="Times New Roman"/>
          <w:sz w:val="24"/>
          <w:szCs w:val="24"/>
        </w:rPr>
        <w:t xml:space="preserve">of Islamic law, adoption or if necessary placement </w:t>
      </w:r>
      <w:r w:rsidRPr="005E7CF1">
        <w:rPr>
          <w:rFonts w:ascii="Times New Roman" w:hAnsi="Times New Roman" w:cs="Times New Roman"/>
          <w:sz w:val="24"/>
          <w:szCs w:val="24"/>
        </w:rPr>
        <w:t>in suitable institutions for the care of children.”</w:t>
      </w:r>
      <w:r w:rsidRPr="005E7CF1">
        <w:rPr>
          <w:rStyle w:val="FootnoteReference"/>
          <w:rFonts w:ascii="Times New Roman" w:hAnsi="Times New Roman" w:cs="Times New Roman"/>
          <w:sz w:val="24"/>
          <w:szCs w:val="24"/>
        </w:rPr>
        <w:footnoteReference w:id="123"/>
      </w:r>
      <w:r w:rsidRPr="005E7CF1">
        <w:rPr>
          <w:rFonts w:ascii="Times New Roman" w:hAnsi="Times New Roman" w:cs="Times New Roman"/>
          <w:sz w:val="24"/>
          <w:szCs w:val="24"/>
        </w:rPr>
        <w:t xml:space="preserve">  As the European Office of the </w:t>
      </w:r>
      <w:r w:rsidR="005E7CF1">
        <w:rPr>
          <w:rFonts w:ascii="Times New Roman" w:hAnsi="Times New Roman" w:cs="Times New Roman"/>
          <w:sz w:val="24"/>
          <w:szCs w:val="24"/>
        </w:rPr>
        <w:t>O</w:t>
      </w:r>
      <w:r w:rsidRPr="005E7CF1">
        <w:rPr>
          <w:rFonts w:ascii="Times New Roman" w:hAnsi="Times New Roman" w:cs="Times New Roman"/>
          <w:sz w:val="24"/>
          <w:szCs w:val="24"/>
        </w:rPr>
        <w:t>HCHR</w:t>
      </w:r>
      <w:r w:rsidR="002268B7" w:rsidRPr="005E7CF1">
        <w:rPr>
          <w:rFonts w:ascii="Times New Roman" w:hAnsi="Times New Roman" w:cs="Times New Roman"/>
          <w:sz w:val="24"/>
          <w:szCs w:val="24"/>
        </w:rPr>
        <w:t xml:space="preserve"> stated:</w:t>
      </w:r>
    </w:p>
    <w:p w14:paraId="78978741" w14:textId="49A4D307" w:rsidR="001F419F" w:rsidRPr="00B57B6A" w:rsidRDefault="00ED7DBF" w:rsidP="00BA146B">
      <w:pPr>
        <w:spacing w:line="240" w:lineRule="auto"/>
        <w:ind w:left="720" w:right="720"/>
        <w:jc w:val="both"/>
        <w:rPr>
          <w:rFonts w:ascii="Times New Roman" w:hAnsi="Times New Roman" w:cs="Times New Roman"/>
          <w:sz w:val="24"/>
          <w:szCs w:val="24"/>
        </w:rPr>
      </w:pPr>
      <w:r w:rsidRPr="002E00E4">
        <w:rPr>
          <w:rFonts w:ascii="Times New Roman" w:hAnsi="Times New Roman" w:cs="Times New Roman"/>
          <w:sz w:val="24"/>
          <w:szCs w:val="24"/>
        </w:rPr>
        <w:t>…</w:t>
      </w:r>
      <w:r w:rsidR="00FD464E" w:rsidRPr="005E7CF1">
        <w:rPr>
          <w:rFonts w:ascii="Times New Roman" w:hAnsi="Times New Roman" w:cs="Times New Roman"/>
          <w:sz w:val="24"/>
          <w:szCs w:val="24"/>
        </w:rPr>
        <w:t>the wording ‘in suitable institutions’ needs clearer interpretation to avoid misuse as a justification for institutional care.</w:t>
      </w:r>
      <w:r w:rsidRPr="005E7CF1">
        <w:rPr>
          <w:rFonts w:ascii="Times New Roman" w:hAnsi="Times New Roman" w:cs="Times New Roman"/>
          <w:sz w:val="24"/>
          <w:szCs w:val="24"/>
        </w:rPr>
        <w:t xml:space="preserve">  The CRC was drafted during the 1980s, when the issue of institutionalization was not perceived as one of the most serious concerns. The then-Communist countries of Eastern and Central Europe, where institutional placement of children was part of the ideology governing child-protect</w:t>
      </w:r>
      <w:r w:rsidR="002268B7" w:rsidRPr="005E7CF1">
        <w:rPr>
          <w:rFonts w:ascii="Times New Roman" w:hAnsi="Times New Roman" w:cs="Times New Roman"/>
          <w:sz w:val="24"/>
          <w:szCs w:val="24"/>
        </w:rPr>
        <w:t>i</w:t>
      </w:r>
      <w:r w:rsidRPr="005E7CF1">
        <w:rPr>
          <w:rFonts w:ascii="Times New Roman" w:hAnsi="Times New Roman" w:cs="Times New Roman"/>
          <w:sz w:val="24"/>
          <w:szCs w:val="24"/>
        </w:rPr>
        <w:t>on systems</w:t>
      </w:r>
      <w:r w:rsidR="005E5CB9" w:rsidRPr="00BA146B">
        <w:rPr>
          <w:rFonts w:ascii="Times New Roman" w:hAnsi="Times New Roman" w:cs="Times New Roman"/>
          <w:sz w:val="24"/>
          <w:szCs w:val="24"/>
        </w:rPr>
        <w:t>,</w:t>
      </w:r>
      <w:r w:rsidRPr="005E7CF1">
        <w:rPr>
          <w:rFonts w:ascii="Times New Roman" w:hAnsi="Times New Roman" w:cs="Times New Roman"/>
          <w:sz w:val="24"/>
          <w:szCs w:val="24"/>
        </w:rPr>
        <w:t xml:space="preserve"> were among its active drafters. Therefore, it is understandable that an elastic definition of ‘suitable institutions’ might have represented the lowest</w:t>
      </w:r>
      <w:r w:rsidRPr="002E00E4">
        <w:rPr>
          <w:rFonts w:ascii="Times New Roman" w:hAnsi="Times New Roman" w:cs="Times New Roman"/>
          <w:sz w:val="24"/>
          <w:szCs w:val="24"/>
        </w:rPr>
        <w:t xml:space="preserve"> common denominator in that geopolitical situation….</w:t>
      </w:r>
      <w:r w:rsidRPr="005E7CF1">
        <w:rPr>
          <w:rFonts w:ascii="Times New Roman" w:hAnsi="Times New Roman" w:cs="Times New Roman"/>
          <w:b/>
          <w:sz w:val="24"/>
          <w:szCs w:val="24"/>
        </w:rPr>
        <w:t>Today, more than two decades after the adoption of the CRC, it is appropriate to raise the question of whether institutional care can be a “suitable option</w:t>
      </w:r>
      <w:r w:rsidR="002268B7" w:rsidRPr="005E7CF1">
        <w:rPr>
          <w:rFonts w:ascii="Times New Roman" w:hAnsi="Times New Roman" w:cs="Times New Roman"/>
          <w:b/>
          <w:sz w:val="24"/>
          <w:szCs w:val="24"/>
        </w:rPr>
        <w:t xml:space="preserve">” </w:t>
      </w:r>
      <w:r w:rsidRPr="005E7CF1">
        <w:rPr>
          <w:rFonts w:ascii="Times New Roman" w:hAnsi="Times New Roman" w:cs="Times New Roman"/>
          <w:b/>
          <w:sz w:val="24"/>
          <w:szCs w:val="24"/>
        </w:rPr>
        <w:t>for children at all, especially for children under three years of age; whether any exceptions are acceptable; and whether it is time to seriously consider its elimination</w:t>
      </w:r>
      <w:r w:rsidRPr="005E7CF1">
        <w:rPr>
          <w:rFonts w:ascii="Times New Roman" w:hAnsi="Times New Roman" w:cs="Times New Roman"/>
          <w:sz w:val="24"/>
          <w:szCs w:val="24"/>
        </w:rPr>
        <w:t>.</w:t>
      </w:r>
      <w:r w:rsidRPr="005E7CF1">
        <w:rPr>
          <w:rStyle w:val="FootnoteReference"/>
          <w:rFonts w:ascii="Times New Roman" w:hAnsi="Times New Roman" w:cs="Times New Roman"/>
          <w:sz w:val="24"/>
          <w:szCs w:val="24"/>
        </w:rPr>
        <w:footnoteReference w:id="124"/>
      </w:r>
      <w:r w:rsidRPr="005E7CF1">
        <w:rPr>
          <w:rFonts w:ascii="Times New Roman" w:hAnsi="Times New Roman" w:cs="Times New Roman"/>
          <w:sz w:val="24"/>
          <w:szCs w:val="24"/>
        </w:rPr>
        <w:t xml:space="preserve"> [emphasis in the original]</w:t>
      </w:r>
    </w:p>
    <w:p w14:paraId="5E79E33F" w14:textId="30F0F556" w:rsidR="00EC36EF" w:rsidRPr="00B57B6A" w:rsidRDefault="00022530" w:rsidP="00BA146B">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The new UN Convention on the Rights of Persons with Disabilities (CRPD</w:t>
      </w:r>
      <w:r w:rsidR="002268B7" w:rsidRPr="00B57B6A">
        <w:rPr>
          <w:rFonts w:ascii="Times New Roman" w:hAnsi="Times New Roman" w:cs="Times New Roman"/>
          <w:sz w:val="24"/>
          <w:szCs w:val="24"/>
        </w:rPr>
        <w:t>)</w:t>
      </w:r>
      <w:r w:rsidR="007E4646" w:rsidRPr="00B57B6A">
        <w:rPr>
          <w:rFonts w:ascii="Times New Roman" w:hAnsi="Times New Roman" w:cs="Times New Roman"/>
          <w:sz w:val="24"/>
          <w:szCs w:val="24"/>
        </w:rPr>
        <w:t xml:space="preserve"> is a major step forward in the protection of the right to community integration – and the right of </w:t>
      </w:r>
      <w:r w:rsidR="007E4646" w:rsidRPr="00B57B6A">
        <w:rPr>
          <w:rFonts w:ascii="Times New Roman" w:hAnsi="Times New Roman" w:cs="Times New Roman"/>
          <w:i/>
          <w:sz w:val="24"/>
          <w:szCs w:val="24"/>
        </w:rPr>
        <w:t xml:space="preserve">all </w:t>
      </w:r>
      <w:r w:rsidR="007E4646" w:rsidRPr="00B57B6A">
        <w:rPr>
          <w:rFonts w:ascii="Times New Roman" w:hAnsi="Times New Roman" w:cs="Times New Roman"/>
          <w:sz w:val="24"/>
          <w:szCs w:val="24"/>
        </w:rPr>
        <w:t>children to grow up with a family.</w:t>
      </w:r>
      <w:r w:rsidR="00AB6AFF">
        <w:rPr>
          <w:rFonts w:ascii="Times New Roman" w:hAnsi="Times New Roman" w:cs="Times New Roman"/>
          <w:sz w:val="24"/>
          <w:szCs w:val="24"/>
        </w:rPr>
        <w:t xml:space="preserve"> </w:t>
      </w:r>
      <w:r w:rsidR="00ED7DBF" w:rsidRPr="00B57B6A">
        <w:rPr>
          <w:rFonts w:ascii="Times New Roman" w:hAnsi="Times New Roman" w:cs="Times New Roman"/>
          <w:sz w:val="24"/>
          <w:szCs w:val="24"/>
        </w:rPr>
        <w:t>While the CRPD does</w:t>
      </w:r>
      <w:r w:rsidRPr="00B57B6A">
        <w:rPr>
          <w:rFonts w:ascii="Times New Roman" w:hAnsi="Times New Roman" w:cs="Times New Roman"/>
          <w:sz w:val="24"/>
          <w:szCs w:val="24"/>
        </w:rPr>
        <w:t xml:space="preserve"> not create new rights, in many ways it creates more effective protections than previously existed under international law.</w:t>
      </w:r>
      <w:r w:rsidR="007E4646" w:rsidRPr="00B57B6A">
        <w:rPr>
          <w:rStyle w:val="FootnoteReference"/>
          <w:rFonts w:ascii="Times New Roman" w:hAnsi="Times New Roman" w:cs="Times New Roman"/>
          <w:sz w:val="24"/>
          <w:szCs w:val="24"/>
        </w:rPr>
        <w:footnoteReference w:id="125"/>
      </w:r>
      <w:r w:rsidR="00ED7DBF"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 </w:t>
      </w:r>
    </w:p>
    <w:p w14:paraId="4BFA468A" w14:textId="77777777" w:rsidR="00EC36EF" w:rsidRPr="00B57B6A" w:rsidRDefault="00EC36EF" w:rsidP="00BA146B">
      <w:pPr>
        <w:spacing w:after="0" w:line="240" w:lineRule="auto"/>
        <w:jc w:val="both"/>
        <w:rPr>
          <w:rFonts w:ascii="Times New Roman" w:hAnsi="Times New Roman" w:cs="Times New Roman"/>
          <w:sz w:val="24"/>
          <w:szCs w:val="24"/>
        </w:rPr>
      </w:pPr>
    </w:p>
    <w:p w14:paraId="350A28C5" w14:textId="319B3F89" w:rsidR="00022530" w:rsidRPr="00B57B6A" w:rsidRDefault="00022530" w:rsidP="00BA146B">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CRPD describes the way society must be adapted to allow for </w:t>
      </w:r>
      <w:r w:rsidR="008C7243">
        <w:rPr>
          <w:rFonts w:ascii="Times New Roman" w:hAnsi="Times New Roman" w:cs="Times New Roman"/>
          <w:sz w:val="24"/>
          <w:szCs w:val="24"/>
        </w:rPr>
        <w:t xml:space="preserve">the </w:t>
      </w:r>
      <w:r w:rsidRPr="00B57B6A">
        <w:rPr>
          <w:rFonts w:ascii="Times New Roman" w:hAnsi="Times New Roman" w:cs="Times New Roman"/>
          <w:sz w:val="24"/>
          <w:szCs w:val="24"/>
        </w:rPr>
        <w:t>full inclusion of people with disabilities</w:t>
      </w:r>
      <w:r w:rsidR="000C08E4" w:rsidRPr="00B57B6A">
        <w:rPr>
          <w:rFonts w:ascii="Times New Roman" w:hAnsi="Times New Roman" w:cs="Times New Roman"/>
          <w:sz w:val="24"/>
          <w:szCs w:val="24"/>
        </w:rPr>
        <w:t xml:space="preserve">, </w:t>
      </w:r>
      <w:r w:rsidR="000C08E4" w:rsidRPr="00C96967">
        <w:rPr>
          <w:rFonts w:ascii="Times New Roman" w:hAnsi="Times New Roman" w:cs="Times New Roman"/>
          <w:sz w:val="24"/>
          <w:szCs w:val="24"/>
        </w:rPr>
        <w:t xml:space="preserve">and </w:t>
      </w:r>
      <w:r w:rsidR="00A2334D" w:rsidRPr="00C96967">
        <w:rPr>
          <w:rFonts w:ascii="Times New Roman" w:hAnsi="Times New Roman" w:cs="Times New Roman"/>
          <w:sz w:val="24"/>
          <w:szCs w:val="24"/>
        </w:rPr>
        <w:t xml:space="preserve">creates </w:t>
      </w:r>
      <w:r w:rsidR="00EC36EF" w:rsidRPr="00C96967">
        <w:rPr>
          <w:rFonts w:ascii="Times New Roman" w:hAnsi="Times New Roman" w:cs="Times New Roman"/>
          <w:sz w:val="24"/>
          <w:szCs w:val="24"/>
        </w:rPr>
        <w:t xml:space="preserve">what has been called </w:t>
      </w:r>
      <w:r w:rsidR="00A2334D" w:rsidRPr="005057EC">
        <w:rPr>
          <w:rFonts w:ascii="Times New Roman" w:hAnsi="Times New Roman" w:cs="Times New Roman"/>
          <w:sz w:val="24"/>
          <w:szCs w:val="24"/>
        </w:rPr>
        <w:t>a new “social order</w:t>
      </w:r>
      <w:r w:rsidR="00F90F98" w:rsidRPr="005057EC">
        <w:rPr>
          <w:rFonts w:ascii="Times New Roman" w:hAnsi="Times New Roman" w:cs="Times New Roman"/>
          <w:sz w:val="24"/>
          <w:szCs w:val="24"/>
        </w:rPr>
        <w:t>,</w:t>
      </w:r>
      <w:r w:rsidR="00A2334D" w:rsidRPr="005057EC">
        <w:rPr>
          <w:rFonts w:ascii="Times New Roman" w:hAnsi="Times New Roman" w:cs="Times New Roman"/>
          <w:sz w:val="24"/>
          <w:szCs w:val="24"/>
        </w:rPr>
        <w:t>” with</w:t>
      </w:r>
      <w:r w:rsidR="000C08E4" w:rsidRPr="005057EC">
        <w:rPr>
          <w:rFonts w:ascii="Times New Roman" w:hAnsi="Times New Roman" w:cs="Times New Roman"/>
          <w:sz w:val="24"/>
          <w:szCs w:val="24"/>
        </w:rPr>
        <w:t xml:space="preserve"> implications that </w:t>
      </w:r>
      <w:r w:rsidR="009B0DAD" w:rsidRPr="00CA2E82">
        <w:rPr>
          <w:rFonts w:ascii="Times New Roman" w:hAnsi="Times New Roman" w:cs="Times New Roman"/>
          <w:sz w:val="24"/>
          <w:szCs w:val="24"/>
        </w:rPr>
        <w:lastRenderedPageBreak/>
        <w:t>extend</w:t>
      </w:r>
      <w:r w:rsidR="009B0DAD" w:rsidRPr="00F71E64">
        <w:rPr>
          <w:rFonts w:ascii="Times New Roman" w:hAnsi="Times New Roman" w:cs="Times New Roman"/>
          <w:sz w:val="24"/>
          <w:szCs w:val="24"/>
        </w:rPr>
        <w:t xml:space="preserve"> </w:t>
      </w:r>
      <w:r w:rsidR="009B0DAD" w:rsidRPr="00636344">
        <w:rPr>
          <w:rFonts w:ascii="Times New Roman" w:hAnsi="Times New Roman" w:cs="Times New Roman"/>
          <w:sz w:val="24"/>
          <w:szCs w:val="24"/>
        </w:rPr>
        <w:t xml:space="preserve">more </w:t>
      </w:r>
      <w:r w:rsidR="000C08E4" w:rsidRPr="00B17805">
        <w:rPr>
          <w:rFonts w:ascii="Times New Roman" w:hAnsi="Times New Roman" w:cs="Times New Roman"/>
          <w:sz w:val="24"/>
          <w:szCs w:val="24"/>
        </w:rPr>
        <w:t>broad</w:t>
      </w:r>
      <w:r w:rsidR="009B0DAD" w:rsidRPr="00775934">
        <w:rPr>
          <w:rFonts w:ascii="Times New Roman" w:hAnsi="Times New Roman" w:cs="Times New Roman"/>
          <w:sz w:val="24"/>
          <w:szCs w:val="24"/>
        </w:rPr>
        <w:t>ly</w:t>
      </w:r>
      <w:r w:rsidR="005057EC">
        <w:rPr>
          <w:rFonts w:ascii="Times New Roman" w:hAnsi="Times New Roman" w:cs="Times New Roman"/>
          <w:sz w:val="24"/>
          <w:szCs w:val="24"/>
        </w:rPr>
        <w:t>,</w:t>
      </w:r>
      <w:r w:rsidR="00C96967">
        <w:rPr>
          <w:rFonts w:ascii="Times New Roman" w:hAnsi="Times New Roman" w:cs="Times New Roman"/>
          <w:sz w:val="24"/>
          <w:szCs w:val="24"/>
        </w:rPr>
        <w:t xml:space="preserve"> </w:t>
      </w:r>
      <w:r w:rsidR="00F90F98" w:rsidRPr="00866F9B">
        <w:rPr>
          <w:rFonts w:ascii="Times New Roman" w:hAnsi="Times New Roman" w:cs="Times New Roman"/>
          <w:sz w:val="24"/>
          <w:szCs w:val="24"/>
        </w:rPr>
        <w:t>beyond</w:t>
      </w:r>
      <w:r w:rsidR="000C08E4" w:rsidRPr="00C96967">
        <w:rPr>
          <w:rFonts w:ascii="Times New Roman" w:hAnsi="Times New Roman" w:cs="Times New Roman"/>
          <w:sz w:val="24"/>
          <w:szCs w:val="24"/>
        </w:rPr>
        <w:t xml:space="preserve"> the population </w:t>
      </w:r>
      <w:r w:rsidR="00F90F98" w:rsidRPr="00866F9B">
        <w:rPr>
          <w:rFonts w:ascii="Times New Roman" w:hAnsi="Times New Roman" w:cs="Times New Roman"/>
          <w:sz w:val="24"/>
          <w:szCs w:val="24"/>
        </w:rPr>
        <w:t>that the CRPD</w:t>
      </w:r>
      <w:r w:rsidR="000C08E4" w:rsidRPr="00C96967">
        <w:rPr>
          <w:rFonts w:ascii="Times New Roman" w:hAnsi="Times New Roman" w:cs="Times New Roman"/>
          <w:sz w:val="24"/>
          <w:szCs w:val="24"/>
        </w:rPr>
        <w:t xml:space="preserve"> was</w:t>
      </w:r>
      <w:r w:rsidR="00F90F98" w:rsidRPr="00866F9B">
        <w:rPr>
          <w:rFonts w:ascii="Times New Roman" w:hAnsi="Times New Roman" w:cs="Times New Roman"/>
          <w:sz w:val="24"/>
          <w:szCs w:val="24"/>
        </w:rPr>
        <w:t xml:space="preserve"> </w:t>
      </w:r>
      <w:r w:rsidR="000C08E4" w:rsidRPr="00C96967">
        <w:rPr>
          <w:rFonts w:ascii="Times New Roman" w:hAnsi="Times New Roman" w:cs="Times New Roman"/>
          <w:sz w:val="24"/>
          <w:szCs w:val="24"/>
        </w:rPr>
        <w:t>created to protect</w:t>
      </w:r>
      <w:r w:rsidRPr="005057EC">
        <w:rPr>
          <w:rFonts w:ascii="Times New Roman" w:hAnsi="Times New Roman" w:cs="Times New Roman"/>
          <w:sz w:val="24"/>
          <w:szCs w:val="24"/>
        </w:rPr>
        <w:t>.</w:t>
      </w:r>
      <w:bookmarkStart w:id="54" w:name="_Ref340434192"/>
      <w:r w:rsidR="00A2334D" w:rsidRPr="00C96967">
        <w:rPr>
          <w:rStyle w:val="FootnoteReference"/>
          <w:rFonts w:ascii="Times New Roman" w:hAnsi="Times New Roman" w:cs="Times New Roman"/>
          <w:sz w:val="24"/>
          <w:szCs w:val="24"/>
        </w:rPr>
        <w:footnoteReference w:id="126"/>
      </w:r>
      <w:bookmarkEnd w:id="54"/>
      <w:r w:rsidRPr="00C96967">
        <w:rPr>
          <w:rFonts w:ascii="Times New Roman" w:hAnsi="Times New Roman" w:cs="Times New Roman"/>
          <w:sz w:val="24"/>
          <w:szCs w:val="24"/>
        </w:rPr>
        <w:t xml:space="preserve">  </w:t>
      </w:r>
      <w:r w:rsidR="000C08E4" w:rsidRPr="00C96967">
        <w:rPr>
          <w:rFonts w:ascii="Times New Roman" w:hAnsi="Times New Roman" w:cs="Times New Roman"/>
          <w:sz w:val="24"/>
          <w:szCs w:val="24"/>
        </w:rPr>
        <w:t>One of the most important and cutting</w:t>
      </w:r>
      <w:r w:rsidR="000C08E4" w:rsidRPr="00B57B6A">
        <w:rPr>
          <w:rFonts w:ascii="Times New Roman" w:hAnsi="Times New Roman" w:cs="Times New Roman"/>
          <w:sz w:val="24"/>
          <w:szCs w:val="24"/>
        </w:rPr>
        <w:t xml:space="preserve"> edge protections </w:t>
      </w:r>
      <w:r w:rsidR="00C21746">
        <w:rPr>
          <w:rFonts w:ascii="Times New Roman" w:hAnsi="Times New Roman" w:cs="Times New Roman"/>
          <w:sz w:val="24"/>
          <w:szCs w:val="24"/>
        </w:rPr>
        <w:t>of</w:t>
      </w:r>
      <w:r w:rsidR="000C08E4" w:rsidRPr="00B57B6A">
        <w:rPr>
          <w:rFonts w:ascii="Times New Roman" w:hAnsi="Times New Roman" w:cs="Times New Roman"/>
          <w:sz w:val="24"/>
          <w:szCs w:val="24"/>
        </w:rPr>
        <w:t xml:space="preserve"> the CRPD is</w:t>
      </w:r>
      <w:r w:rsidR="002268B7" w:rsidRPr="00B57B6A">
        <w:rPr>
          <w:rFonts w:ascii="Times New Roman" w:hAnsi="Times New Roman" w:cs="Times New Roman"/>
          <w:sz w:val="24"/>
          <w:szCs w:val="24"/>
        </w:rPr>
        <w:t xml:space="preserve"> </w:t>
      </w:r>
      <w:r w:rsidR="00C21746">
        <w:rPr>
          <w:rFonts w:ascii="Times New Roman" w:hAnsi="Times New Roman" w:cs="Times New Roman"/>
          <w:sz w:val="24"/>
          <w:szCs w:val="24"/>
        </w:rPr>
        <w:t xml:space="preserve">found in </w:t>
      </w:r>
      <w:r w:rsidR="002268B7" w:rsidRPr="00B57B6A">
        <w:rPr>
          <w:rFonts w:ascii="Times New Roman" w:hAnsi="Times New Roman" w:cs="Times New Roman"/>
          <w:sz w:val="24"/>
          <w:szCs w:val="24"/>
        </w:rPr>
        <w:t>Article</w:t>
      </w:r>
      <w:r w:rsidR="000C08E4" w:rsidRPr="00B57B6A">
        <w:rPr>
          <w:rFonts w:ascii="Times New Roman" w:hAnsi="Times New Roman" w:cs="Times New Roman"/>
          <w:sz w:val="24"/>
          <w:szCs w:val="24"/>
        </w:rPr>
        <w:t xml:space="preserve"> </w:t>
      </w:r>
      <w:r w:rsidR="002E3FE5" w:rsidRPr="00B57B6A">
        <w:rPr>
          <w:rFonts w:ascii="Times New Roman" w:hAnsi="Times New Roman" w:cs="Times New Roman"/>
          <w:sz w:val="24"/>
          <w:szCs w:val="24"/>
        </w:rPr>
        <w:t>19</w:t>
      </w:r>
      <w:r w:rsidR="002268B7" w:rsidRPr="00B57B6A">
        <w:rPr>
          <w:rFonts w:ascii="Times New Roman" w:hAnsi="Times New Roman" w:cs="Times New Roman"/>
          <w:sz w:val="24"/>
          <w:szCs w:val="24"/>
        </w:rPr>
        <w:t xml:space="preserve">, which </w:t>
      </w:r>
      <w:r w:rsidR="002E3FE5" w:rsidRPr="00B57B6A">
        <w:rPr>
          <w:rFonts w:ascii="Times New Roman" w:hAnsi="Times New Roman" w:cs="Times New Roman"/>
          <w:sz w:val="24"/>
          <w:szCs w:val="24"/>
        </w:rPr>
        <w:t>recognizes th</w:t>
      </w:r>
      <w:r w:rsidR="000C08E4" w:rsidRPr="00B57B6A">
        <w:rPr>
          <w:rFonts w:ascii="Times New Roman" w:hAnsi="Times New Roman" w:cs="Times New Roman"/>
          <w:sz w:val="24"/>
          <w:szCs w:val="24"/>
        </w:rPr>
        <w:t>e “equal right of all persons with disabilities to live in the community, with choices equal to others.” As the European Regional Office of the UN High Commissioner for Human Rights has described it:</w:t>
      </w:r>
    </w:p>
    <w:p w14:paraId="59DA310C" w14:textId="77777777" w:rsidR="00A2334D" w:rsidRPr="00B57B6A" w:rsidRDefault="00A2334D" w:rsidP="00BA146B">
      <w:pPr>
        <w:spacing w:after="0" w:line="240" w:lineRule="auto"/>
        <w:jc w:val="both"/>
        <w:rPr>
          <w:rFonts w:ascii="Times New Roman" w:hAnsi="Times New Roman" w:cs="Times New Roman"/>
          <w:sz w:val="24"/>
          <w:szCs w:val="24"/>
        </w:rPr>
      </w:pPr>
    </w:p>
    <w:p w14:paraId="4DF39421" w14:textId="2BE141EA" w:rsidR="00FD464E" w:rsidRPr="00B57B6A" w:rsidRDefault="000C08E4" w:rsidP="00BA146B">
      <w:pPr>
        <w:spacing w:after="0"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 xml:space="preserve">Although the CRPD is specific to persons with disabilities, </w:t>
      </w:r>
      <w:r w:rsidR="007257DD" w:rsidRPr="00B57B6A">
        <w:rPr>
          <w:rFonts w:ascii="Times New Roman" w:hAnsi="Times New Roman" w:cs="Times New Roman"/>
          <w:sz w:val="24"/>
          <w:szCs w:val="24"/>
        </w:rPr>
        <w:t>A</w:t>
      </w:r>
      <w:r w:rsidRPr="00B57B6A">
        <w:rPr>
          <w:rFonts w:ascii="Times New Roman" w:hAnsi="Times New Roman" w:cs="Times New Roman"/>
          <w:sz w:val="24"/>
          <w:szCs w:val="24"/>
        </w:rPr>
        <w:t>rticle 19 is founded on the rights that apply to everyone. It emphasizes the importance of developing good-quality and sustainable alternatives to institutional care.</w:t>
      </w:r>
      <w:bookmarkStart w:id="55" w:name="_Ref345281736"/>
      <w:r w:rsidRPr="00B57B6A">
        <w:rPr>
          <w:rStyle w:val="FootnoteReference"/>
          <w:rFonts w:ascii="Times New Roman" w:hAnsi="Times New Roman" w:cs="Times New Roman"/>
          <w:sz w:val="24"/>
          <w:szCs w:val="24"/>
        </w:rPr>
        <w:footnoteReference w:id="127"/>
      </w:r>
      <w:bookmarkEnd w:id="55"/>
      <w:r w:rsidRPr="00B57B6A">
        <w:rPr>
          <w:rFonts w:ascii="Times New Roman" w:hAnsi="Times New Roman" w:cs="Times New Roman"/>
          <w:sz w:val="24"/>
          <w:szCs w:val="24"/>
        </w:rPr>
        <w:t xml:space="preserve"> </w:t>
      </w:r>
    </w:p>
    <w:p w14:paraId="0BCD6E84" w14:textId="77777777" w:rsidR="00706D76" w:rsidRPr="00B57B6A" w:rsidRDefault="00706D76" w:rsidP="00BA146B">
      <w:pPr>
        <w:spacing w:after="0" w:line="240" w:lineRule="auto"/>
        <w:ind w:right="720"/>
        <w:jc w:val="both"/>
        <w:rPr>
          <w:rFonts w:ascii="Times New Roman" w:hAnsi="Times New Roman" w:cs="Times New Roman"/>
          <w:sz w:val="24"/>
          <w:szCs w:val="24"/>
        </w:rPr>
      </w:pPr>
    </w:p>
    <w:p w14:paraId="5A56EE65" w14:textId="53D7B34B" w:rsidR="00A2334D" w:rsidRPr="00B57B6A" w:rsidRDefault="00A2334D" w:rsidP="00BA146B">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In the most practical terms, the </w:t>
      </w:r>
      <w:r w:rsidR="002268B7" w:rsidRPr="00B57B6A">
        <w:rPr>
          <w:rFonts w:ascii="Times New Roman" w:hAnsi="Times New Roman" w:cs="Times New Roman"/>
          <w:sz w:val="24"/>
          <w:szCs w:val="24"/>
        </w:rPr>
        <w:t>A</w:t>
      </w:r>
      <w:r w:rsidRPr="00B57B6A">
        <w:rPr>
          <w:rFonts w:ascii="Times New Roman" w:hAnsi="Times New Roman" w:cs="Times New Roman"/>
          <w:sz w:val="24"/>
          <w:szCs w:val="24"/>
        </w:rPr>
        <w:t xml:space="preserve">rticle 19 is directly relevant to non-disabled children who may be at risk of placement in an institution because their parents have a disability or are perceived to be unable to take care of them. </w:t>
      </w:r>
      <w:r w:rsidR="00EC36EF" w:rsidRPr="00B57B6A">
        <w:rPr>
          <w:rFonts w:ascii="Times New Roman" w:hAnsi="Times New Roman" w:cs="Times New Roman"/>
          <w:sz w:val="24"/>
          <w:szCs w:val="24"/>
        </w:rPr>
        <w:t>Thus, a</w:t>
      </w:r>
      <w:r w:rsidRPr="00B57B6A">
        <w:rPr>
          <w:rFonts w:ascii="Times New Roman" w:hAnsi="Times New Roman" w:cs="Times New Roman"/>
          <w:sz w:val="24"/>
          <w:szCs w:val="24"/>
        </w:rPr>
        <w:t xml:space="preserve">ll children, not just children with disabilities, are protected by the right to community integration under the CRPD. </w:t>
      </w:r>
    </w:p>
    <w:p w14:paraId="6CA109F4" w14:textId="77777777" w:rsidR="00A2334D" w:rsidRPr="00B57B6A" w:rsidRDefault="00A2334D" w:rsidP="00BA146B">
      <w:pPr>
        <w:spacing w:after="0" w:line="240" w:lineRule="auto"/>
        <w:jc w:val="both"/>
        <w:rPr>
          <w:rFonts w:ascii="Times New Roman" w:hAnsi="Times New Roman" w:cs="Times New Roman"/>
          <w:sz w:val="24"/>
          <w:szCs w:val="24"/>
        </w:rPr>
      </w:pPr>
    </w:p>
    <w:p w14:paraId="6625053C" w14:textId="69380AAF" w:rsidR="00EC36EF" w:rsidRPr="00B57B6A" w:rsidRDefault="00A2334D" w:rsidP="00BA146B">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CRPD </w:t>
      </w:r>
      <w:r w:rsidR="00E555C6" w:rsidRPr="00B57B6A">
        <w:rPr>
          <w:rFonts w:ascii="Times New Roman" w:hAnsi="Times New Roman" w:cs="Times New Roman"/>
          <w:sz w:val="24"/>
          <w:szCs w:val="24"/>
        </w:rPr>
        <w:t xml:space="preserve">Article 23 </w:t>
      </w:r>
      <w:r w:rsidR="00EC36EF" w:rsidRPr="00B57B6A">
        <w:rPr>
          <w:rFonts w:ascii="Times New Roman" w:hAnsi="Times New Roman" w:cs="Times New Roman"/>
          <w:sz w:val="24"/>
          <w:szCs w:val="24"/>
        </w:rPr>
        <w:t>protects the</w:t>
      </w:r>
      <w:r w:rsidR="00E555C6" w:rsidRPr="00B57B6A">
        <w:rPr>
          <w:rFonts w:ascii="Times New Roman" w:hAnsi="Times New Roman" w:cs="Times New Roman"/>
          <w:sz w:val="24"/>
          <w:szCs w:val="24"/>
        </w:rPr>
        <w:t xml:space="preserve"> right to grow up with a family, and this provision of the CRPD is</w:t>
      </w:r>
      <w:r w:rsidR="00EC36EF" w:rsidRPr="00B57B6A">
        <w:rPr>
          <w:rFonts w:ascii="Times New Roman" w:hAnsi="Times New Roman" w:cs="Times New Roman"/>
          <w:sz w:val="24"/>
          <w:szCs w:val="24"/>
        </w:rPr>
        <w:t xml:space="preserve"> more explicit in its application to children wi</w:t>
      </w:r>
      <w:r w:rsidR="003E55E1">
        <w:rPr>
          <w:rFonts w:ascii="Times New Roman" w:hAnsi="Times New Roman" w:cs="Times New Roman"/>
          <w:sz w:val="24"/>
          <w:szCs w:val="24"/>
        </w:rPr>
        <w:t xml:space="preserve">th and without disabilities. </w:t>
      </w:r>
      <w:r w:rsidR="00EC36EF" w:rsidRPr="00B57B6A">
        <w:rPr>
          <w:rFonts w:ascii="Times New Roman" w:hAnsi="Times New Roman" w:cs="Times New Roman"/>
          <w:sz w:val="24"/>
          <w:szCs w:val="24"/>
        </w:rPr>
        <w:t>Article 23(4) requires governments to “ensure that a child shall not be separated from his or her parents against their will” and “[i]n no case shall a child be separated from parents on the basis of a disability of either the child or one or both of th</w:t>
      </w:r>
      <w:r w:rsidR="00F8003A" w:rsidRPr="00B57B6A">
        <w:rPr>
          <w:rFonts w:ascii="Times New Roman" w:hAnsi="Times New Roman" w:cs="Times New Roman"/>
          <w:sz w:val="24"/>
          <w:szCs w:val="24"/>
        </w:rPr>
        <w:t>e parents.” All children may be</w:t>
      </w:r>
      <w:r w:rsidR="00EC36EF" w:rsidRPr="00B57B6A">
        <w:rPr>
          <w:rFonts w:ascii="Times New Roman" w:hAnsi="Times New Roman" w:cs="Times New Roman"/>
          <w:sz w:val="24"/>
          <w:szCs w:val="24"/>
        </w:rPr>
        <w:t xml:space="preserve"> at</w:t>
      </w:r>
      <w:r w:rsidR="005057EC">
        <w:rPr>
          <w:rFonts w:ascii="Times New Roman" w:hAnsi="Times New Roman" w:cs="Times New Roman"/>
          <w:sz w:val="24"/>
          <w:szCs w:val="24"/>
        </w:rPr>
        <w:t xml:space="preserve"> </w:t>
      </w:r>
      <w:r w:rsidR="00EC36EF" w:rsidRPr="00B57B6A">
        <w:rPr>
          <w:rFonts w:ascii="Times New Roman" w:hAnsi="Times New Roman" w:cs="Times New Roman"/>
          <w:sz w:val="24"/>
          <w:szCs w:val="24"/>
        </w:rPr>
        <w:t>risk of separation from the</w:t>
      </w:r>
      <w:r w:rsidR="00F8003A" w:rsidRPr="00B57B6A">
        <w:rPr>
          <w:rFonts w:ascii="Times New Roman" w:hAnsi="Times New Roman" w:cs="Times New Roman"/>
          <w:sz w:val="24"/>
          <w:szCs w:val="24"/>
        </w:rPr>
        <w:t>ir</w:t>
      </w:r>
      <w:r w:rsidR="00EC36EF" w:rsidRPr="00B57B6A">
        <w:rPr>
          <w:rFonts w:ascii="Times New Roman" w:hAnsi="Times New Roman" w:cs="Times New Roman"/>
          <w:sz w:val="24"/>
          <w:szCs w:val="24"/>
        </w:rPr>
        <w:t xml:space="preserve"> family and segregation from society when there is discrimination against their parents.</w:t>
      </w:r>
    </w:p>
    <w:p w14:paraId="1B26B6F5" w14:textId="77777777" w:rsidR="003510A1" w:rsidRPr="00B57B6A" w:rsidRDefault="003510A1" w:rsidP="00BA146B">
      <w:pPr>
        <w:spacing w:after="0" w:line="240" w:lineRule="auto"/>
        <w:jc w:val="both"/>
        <w:rPr>
          <w:rFonts w:ascii="Times New Roman" w:hAnsi="Times New Roman" w:cs="Times New Roman"/>
          <w:sz w:val="24"/>
          <w:szCs w:val="24"/>
        </w:rPr>
      </w:pPr>
    </w:p>
    <w:p w14:paraId="3AD32830" w14:textId="3A037857" w:rsidR="005B7C27" w:rsidRPr="00B57B6A" w:rsidRDefault="003510A1" w:rsidP="00BA146B">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CRPD article 23(5) esta</w:t>
      </w:r>
      <w:r w:rsidR="00E555C6" w:rsidRPr="00B57B6A">
        <w:rPr>
          <w:rFonts w:ascii="Times New Roman" w:hAnsi="Times New Roman" w:cs="Times New Roman"/>
          <w:sz w:val="24"/>
          <w:szCs w:val="24"/>
        </w:rPr>
        <w:t>blishes the most important protection</w:t>
      </w:r>
      <w:r w:rsidRPr="00B57B6A">
        <w:rPr>
          <w:rFonts w:ascii="Times New Roman" w:hAnsi="Times New Roman" w:cs="Times New Roman"/>
          <w:sz w:val="24"/>
          <w:szCs w:val="24"/>
        </w:rPr>
        <w:t xml:space="preserve"> of the right to grow up in a family, stating that governments shall “where the immediate family is unable to care for a child with disabilities, undertake every effort to provide alternative care within the wider family, and failing that, within the community in a family setting.” Article 23(5) never mentions the possibility of placing a child in an institution or in any form of residential care. </w:t>
      </w:r>
      <w:r w:rsidR="003C07C7" w:rsidRPr="00B57B6A">
        <w:rPr>
          <w:rFonts w:ascii="Times New Roman" w:hAnsi="Times New Roman" w:cs="Times New Roman"/>
          <w:sz w:val="24"/>
          <w:szCs w:val="24"/>
        </w:rPr>
        <w:t xml:space="preserve"> </w:t>
      </w:r>
    </w:p>
    <w:p w14:paraId="57315E04" w14:textId="77777777" w:rsidR="005B7C27" w:rsidRPr="00B57B6A" w:rsidRDefault="005B7C27" w:rsidP="00BA146B">
      <w:pPr>
        <w:spacing w:after="0" w:line="240" w:lineRule="auto"/>
        <w:jc w:val="both"/>
        <w:rPr>
          <w:rFonts w:ascii="Times New Roman" w:hAnsi="Times New Roman" w:cs="Times New Roman"/>
          <w:sz w:val="24"/>
          <w:szCs w:val="24"/>
        </w:rPr>
      </w:pPr>
    </w:p>
    <w:p w14:paraId="3084959D" w14:textId="322C7CB8" w:rsidR="00DC4BE0" w:rsidRDefault="005B7C27" w:rsidP="00BA146B">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CRPD Article 23(5) provides stronger protections for the right of a child to grow up in a family than do </w:t>
      </w:r>
      <w:r w:rsidR="003510A1" w:rsidRPr="00B57B6A">
        <w:rPr>
          <w:rFonts w:ascii="Times New Roman" w:hAnsi="Times New Roman" w:cs="Times New Roman"/>
          <w:sz w:val="24"/>
          <w:szCs w:val="24"/>
        </w:rPr>
        <w:t xml:space="preserve">UN Guidelines for Alternative Care. </w:t>
      </w:r>
      <w:r w:rsidR="00DC4BE0" w:rsidRPr="00B57B6A">
        <w:rPr>
          <w:rFonts w:ascii="Times New Roman" w:hAnsi="Times New Roman" w:cs="Times New Roman"/>
          <w:sz w:val="24"/>
          <w:szCs w:val="24"/>
        </w:rPr>
        <w:t>The Guidelines guarantee that children under age three should grow up with a family, but they do not provide similar protections for children of older ages.</w:t>
      </w:r>
      <w:r w:rsidR="00DC4BE0" w:rsidRPr="00B57B6A">
        <w:rPr>
          <w:rStyle w:val="FootnoteReference"/>
          <w:rFonts w:ascii="Times New Roman" w:hAnsi="Times New Roman" w:cs="Times New Roman"/>
          <w:sz w:val="24"/>
          <w:szCs w:val="24"/>
        </w:rPr>
        <w:footnoteReference w:id="128"/>
      </w:r>
    </w:p>
    <w:p w14:paraId="5BE18990" w14:textId="77777777" w:rsidR="00CA2E82" w:rsidRPr="00B57B6A" w:rsidRDefault="00CA2E82" w:rsidP="00BA146B">
      <w:pPr>
        <w:spacing w:after="0" w:line="240" w:lineRule="auto"/>
        <w:jc w:val="both"/>
        <w:rPr>
          <w:rFonts w:ascii="Times New Roman" w:hAnsi="Times New Roman" w:cs="Times New Roman"/>
          <w:sz w:val="24"/>
          <w:szCs w:val="24"/>
        </w:rPr>
      </w:pPr>
    </w:p>
    <w:p w14:paraId="5FDB1933" w14:textId="35FAA631" w:rsidR="005B7C27" w:rsidRPr="00B57B6A" w:rsidRDefault="003510A1" w:rsidP="00BA146B">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While the </w:t>
      </w:r>
      <w:r w:rsidR="00F71E64">
        <w:rPr>
          <w:rFonts w:ascii="Times New Roman" w:hAnsi="Times New Roman" w:cs="Times New Roman"/>
          <w:sz w:val="24"/>
          <w:szCs w:val="24"/>
        </w:rPr>
        <w:t xml:space="preserve">UN </w:t>
      </w:r>
      <w:r w:rsidRPr="00B57B6A">
        <w:rPr>
          <w:rFonts w:ascii="Times New Roman" w:hAnsi="Times New Roman" w:cs="Times New Roman"/>
          <w:sz w:val="24"/>
          <w:szCs w:val="24"/>
        </w:rPr>
        <w:t xml:space="preserve">Guidelines </w:t>
      </w:r>
      <w:r w:rsidR="00F71E64">
        <w:rPr>
          <w:rFonts w:ascii="Times New Roman" w:hAnsi="Times New Roman" w:cs="Times New Roman"/>
          <w:sz w:val="24"/>
          <w:szCs w:val="24"/>
        </w:rPr>
        <w:t xml:space="preserve">for Alternative Care </w:t>
      </w:r>
      <w:r w:rsidRPr="00B57B6A">
        <w:rPr>
          <w:rFonts w:ascii="Times New Roman" w:hAnsi="Times New Roman" w:cs="Times New Roman"/>
          <w:sz w:val="24"/>
          <w:szCs w:val="24"/>
        </w:rPr>
        <w:t>take a strong stand on the elimination of institutions, they state that residential care facilities “compl</w:t>
      </w:r>
      <w:r w:rsidR="00F445B5">
        <w:rPr>
          <w:rFonts w:ascii="Times New Roman" w:hAnsi="Times New Roman" w:cs="Times New Roman"/>
          <w:sz w:val="24"/>
          <w:szCs w:val="24"/>
        </w:rPr>
        <w:t>e</w:t>
      </w:r>
      <w:r w:rsidRPr="00B57B6A">
        <w:rPr>
          <w:rFonts w:ascii="Times New Roman" w:hAnsi="Times New Roman" w:cs="Times New Roman"/>
          <w:sz w:val="24"/>
          <w:szCs w:val="24"/>
        </w:rPr>
        <w:t>ment” family-based care – implying that residential care is not only acceptable</w:t>
      </w:r>
      <w:r w:rsidR="00CC3ECE" w:rsidRPr="00B57B6A">
        <w:rPr>
          <w:rFonts w:ascii="Times New Roman" w:hAnsi="Times New Roman" w:cs="Times New Roman"/>
          <w:sz w:val="24"/>
          <w:szCs w:val="24"/>
        </w:rPr>
        <w:t>,</w:t>
      </w:r>
      <w:r w:rsidRPr="00B57B6A">
        <w:rPr>
          <w:rFonts w:ascii="Times New Roman" w:hAnsi="Times New Roman" w:cs="Times New Roman"/>
          <w:sz w:val="24"/>
          <w:szCs w:val="24"/>
        </w:rPr>
        <w:t xml:space="preserve"> but necessary. </w:t>
      </w:r>
      <w:r w:rsidR="005B7C27" w:rsidRPr="00B57B6A">
        <w:rPr>
          <w:rFonts w:ascii="Times New Roman" w:hAnsi="Times New Roman" w:cs="Times New Roman"/>
          <w:sz w:val="24"/>
          <w:szCs w:val="24"/>
        </w:rPr>
        <w:t xml:space="preserve">  Indeed, the Guidelines allow for the creation of new residential facilities as long as they are part of a strategy for “deinstitutionalization.”</w:t>
      </w:r>
      <w:r w:rsidR="005B7C27" w:rsidRPr="00B57B6A">
        <w:rPr>
          <w:rStyle w:val="FootnoteReference"/>
          <w:rFonts w:ascii="Times New Roman" w:hAnsi="Times New Roman" w:cs="Times New Roman"/>
          <w:sz w:val="24"/>
          <w:szCs w:val="24"/>
        </w:rPr>
        <w:footnoteReference w:id="129"/>
      </w:r>
      <w:r w:rsidR="005B7C27" w:rsidRPr="00B57B6A">
        <w:rPr>
          <w:rFonts w:ascii="Times New Roman" w:hAnsi="Times New Roman" w:cs="Times New Roman"/>
          <w:sz w:val="24"/>
          <w:szCs w:val="24"/>
        </w:rPr>
        <w:t xml:space="preserve"> </w:t>
      </w:r>
      <w:r w:rsidR="00DC4BE0" w:rsidRPr="00B57B6A">
        <w:rPr>
          <w:rFonts w:ascii="Times New Roman" w:hAnsi="Times New Roman" w:cs="Times New Roman"/>
          <w:sz w:val="24"/>
          <w:szCs w:val="24"/>
        </w:rPr>
        <w:t>T</w:t>
      </w:r>
      <w:r w:rsidR="005B7C27" w:rsidRPr="00B57B6A">
        <w:rPr>
          <w:rFonts w:ascii="Times New Roman" w:hAnsi="Times New Roman" w:cs="Times New Roman"/>
          <w:sz w:val="24"/>
          <w:szCs w:val="24"/>
        </w:rPr>
        <w:t xml:space="preserve">he </w:t>
      </w:r>
      <w:r w:rsidR="00DC4BE0" w:rsidRPr="00B57B6A">
        <w:rPr>
          <w:rFonts w:ascii="Times New Roman" w:hAnsi="Times New Roman" w:cs="Times New Roman"/>
          <w:sz w:val="24"/>
          <w:szCs w:val="24"/>
        </w:rPr>
        <w:t xml:space="preserve">Guidelines do not limit the size of a residential facility and they leave </w:t>
      </w:r>
      <w:r w:rsidR="00F8003A" w:rsidRPr="00B57B6A">
        <w:rPr>
          <w:rFonts w:ascii="Times New Roman" w:hAnsi="Times New Roman" w:cs="Times New Roman"/>
          <w:sz w:val="24"/>
          <w:szCs w:val="24"/>
        </w:rPr>
        <w:t xml:space="preserve">ambiguous </w:t>
      </w:r>
      <w:r w:rsidR="00DC4BE0" w:rsidRPr="00B57B6A">
        <w:rPr>
          <w:rFonts w:ascii="Times New Roman" w:hAnsi="Times New Roman" w:cs="Times New Roman"/>
          <w:sz w:val="24"/>
          <w:szCs w:val="24"/>
        </w:rPr>
        <w:t>the difference between residential care and institutions</w:t>
      </w:r>
      <w:r w:rsidR="00F8003A" w:rsidRPr="00B57B6A">
        <w:rPr>
          <w:rFonts w:ascii="Times New Roman" w:hAnsi="Times New Roman" w:cs="Times New Roman"/>
          <w:sz w:val="24"/>
          <w:szCs w:val="24"/>
        </w:rPr>
        <w:t>.</w:t>
      </w:r>
      <w:r w:rsidR="00DC4BE0" w:rsidRPr="00B57B6A">
        <w:rPr>
          <w:rFonts w:ascii="Times New Roman" w:hAnsi="Times New Roman" w:cs="Times New Roman"/>
          <w:sz w:val="24"/>
          <w:szCs w:val="24"/>
        </w:rPr>
        <w:t xml:space="preserve"> </w:t>
      </w:r>
      <w:r w:rsidR="005B7C27" w:rsidRPr="00B57B6A">
        <w:rPr>
          <w:rFonts w:ascii="Times New Roman" w:hAnsi="Times New Roman" w:cs="Times New Roman"/>
          <w:sz w:val="24"/>
          <w:szCs w:val="24"/>
        </w:rPr>
        <w:t xml:space="preserve">The Guidelines mention </w:t>
      </w:r>
      <w:r w:rsidR="005B7C27" w:rsidRPr="00B57B6A">
        <w:rPr>
          <w:rFonts w:ascii="Times New Roman" w:hAnsi="Times New Roman" w:cs="Times New Roman"/>
          <w:sz w:val="24"/>
          <w:szCs w:val="24"/>
        </w:rPr>
        <w:lastRenderedPageBreak/>
        <w:t xml:space="preserve">that group homes are one form of </w:t>
      </w:r>
      <w:r w:rsidR="00DC4BE0" w:rsidRPr="00B57B6A">
        <w:rPr>
          <w:rFonts w:ascii="Times New Roman" w:hAnsi="Times New Roman" w:cs="Times New Roman"/>
          <w:sz w:val="24"/>
          <w:szCs w:val="24"/>
        </w:rPr>
        <w:t>residential care, but they clearly suggest that other forms of residential care are acceptable.</w:t>
      </w:r>
      <w:r w:rsidR="003E55E1">
        <w:rPr>
          <w:rFonts w:ascii="Times New Roman" w:hAnsi="Times New Roman" w:cs="Times New Roman"/>
          <w:sz w:val="24"/>
          <w:szCs w:val="24"/>
        </w:rPr>
        <w:t xml:space="preserve"> </w:t>
      </w:r>
      <w:r w:rsidR="00DC4BE0" w:rsidRPr="00B57B6A">
        <w:rPr>
          <w:rFonts w:ascii="Times New Roman" w:hAnsi="Times New Roman" w:cs="Times New Roman"/>
          <w:sz w:val="24"/>
          <w:szCs w:val="24"/>
        </w:rPr>
        <w:t>This appears to justify small institutions. Even if a small institution is called a “group home,” research shows that group homes can effectively become institutions.</w:t>
      </w:r>
      <w:r w:rsidR="00DC4BE0" w:rsidRPr="00B57B6A">
        <w:rPr>
          <w:rStyle w:val="FootnoteReference"/>
          <w:rFonts w:ascii="Times New Roman" w:hAnsi="Times New Roman" w:cs="Times New Roman"/>
          <w:sz w:val="24"/>
          <w:szCs w:val="24"/>
        </w:rPr>
        <w:t xml:space="preserve"> </w:t>
      </w:r>
      <w:r w:rsidR="00DC4BE0" w:rsidRPr="00B57B6A">
        <w:rPr>
          <w:rStyle w:val="FootnoteReference"/>
          <w:rFonts w:ascii="Times New Roman" w:hAnsi="Times New Roman" w:cs="Times New Roman"/>
          <w:sz w:val="24"/>
          <w:szCs w:val="24"/>
        </w:rPr>
        <w:footnoteReference w:id="130"/>
      </w:r>
      <w:r w:rsidR="00DC4BE0" w:rsidRPr="00B57B6A">
        <w:rPr>
          <w:rStyle w:val="FootnoteReference"/>
          <w:rFonts w:ascii="Times New Roman" w:hAnsi="Times New Roman" w:cs="Times New Roman"/>
          <w:sz w:val="24"/>
          <w:szCs w:val="24"/>
        </w:rPr>
        <w:t xml:space="preserve">  </w:t>
      </w:r>
      <w:r w:rsidR="00DC4BE0" w:rsidRPr="00B57B6A">
        <w:rPr>
          <w:rFonts w:ascii="Times New Roman" w:hAnsi="Times New Roman" w:cs="Times New Roman"/>
          <w:sz w:val="24"/>
          <w:szCs w:val="24"/>
        </w:rPr>
        <w:t xml:space="preserve"> </w:t>
      </w:r>
    </w:p>
    <w:p w14:paraId="1A6C1DDF" w14:textId="77777777" w:rsidR="00706D76" w:rsidRPr="00B57B6A" w:rsidRDefault="00706D76" w:rsidP="00BA146B">
      <w:pPr>
        <w:spacing w:after="0" w:line="240" w:lineRule="auto"/>
        <w:jc w:val="both"/>
        <w:rPr>
          <w:rFonts w:ascii="Times New Roman" w:hAnsi="Times New Roman" w:cs="Times New Roman"/>
          <w:sz w:val="24"/>
          <w:szCs w:val="24"/>
        </w:rPr>
      </w:pPr>
    </w:p>
    <w:p w14:paraId="0F06D981" w14:textId="6BC66D5B" w:rsidR="003C07C7" w:rsidRPr="00B57B6A" w:rsidRDefault="003C07C7" w:rsidP="00BA146B">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CRPD does not specifically prohibit placement in residential care, but where the child’s family is not available, governments must make every effort to place a child in another family setting. As described in </w:t>
      </w:r>
      <w:r w:rsidR="00CC3ECE" w:rsidRPr="00B57B6A">
        <w:rPr>
          <w:rFonts w:ascii="Times New Roman" w:hAnsi="Times New Roman" w:cs="Times New Roman"/>
          <w:sz w:val="24"/>
          <w:szCs w:val="24"/>
        </w:rPr>
        <w:t>P</w:t>
      </w:r>
      <w:r w:rsidRPr="00B57B6A">
        <w:rPr>
          <w:rFonts w:ascii="Times New Roman" w:hAnsi="Times New Roman" w:cs="Times New Roman"/>
          <w:sz w:val="24"/>
          <w:szCs w:val="24"/>
        </w:rPr>
        <w:t xml:space="preserve">art IV below, “every effort” should now be interpreted in light of the </w:t>
      </w:r>
      <w:r w:rsidR="00BA146B">
        <w:rPr>
          <w:rFonts w:ascii="Times New Roman" w:hAnsi="Times New Roman" w:cs="Times New Roman"/>
          <w:sz w:val="24"/>
          <w:szCs w:val="24"/>
        </w:rPr>
        <w:t xml:space="preserve">Torture Standard. </w:t>
      </w:r>
    </w:p>
    <w:p w14:paraId="3861C916" w14:textId="77777777" w:rsidR="00706D76" w:rsidRPr="00B57B6A" w:rsidRDefault="00706D76" w:rsidP="00BA146B">
      <w:pPr>
        <w:spacing w:after="0" w:line="240" w:lineRule="auto"/>
        <w:jc w:val="both"/>
        <w:rPr>
          <w:rFonts w:ascii="Times New Roman" w:hAnsi="Times New Roman" w:cs="Times New Roman"/>
          <w:sz w:val="24"/>
          <w:szCs w:val="24"/>
        </w:rPr>
      </w:pPr>
    </w:p>
    <w:p w14:paraId="1C9CB30F" w14:textId="77777777" w:rsidR="00E555C6" w:rsidRPr="00B57B6A" w:rsidRDefault="002E3FE5" w:rsidP="00BA146B">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protections established in the CRPD, which entered into force in 2009, are so new that </w:t>
      </w:r>
      <w:r w:rsidR="00CE0F00" w:rsidRPr="00B57B6A">
        <w:rPr>
          <w:rFonts w:ascii="Times New Roman" w:hAnsi="Times New Roman" w:cs="Times New Roman"/>
          <w:sz w:val="24"/>
          <w:szCs w:val="24"/>
        </w:rPr>
        <w:t>their</w:t>
      </w:r>
      <w:r w:rsidRPr="00B57B6A">
        <w:rPr>
          <w:rFonts w:ascii="Times New Roman" w:hAnsi="Times New Roman" w:cs="Times New Roman"/>
          <w:sz w:val="24"/>
          <w:szCs w:val="24"/>
        </w:rPr>
        <w:t xml:space="preserve"> full implications are still being discovered.  In 2017, the UN Committee on the Rights of Persons with Disabilities is expected to adopt a new General Comment helping to guide States in understanding the meaning and requirements of the right to community integration.</w:t>
      </w:r>
      <w:r w:rsidR="007C18E9" w:rsidRPr="00B57B6A">
        <w:rPr>
          <w:rStyle w:val="FootnoteReference"/>
          <w:rFonts w:ascii="Times New Roman" w:hAnsi="Times New Roman" w:cs="Times New Roman"/>
          <w:sz w:val="24"/>
          <w:szCs w:val="24"/>
        </w:rPr>
        <w:t xml:space="preserve"> </w:t>
      </w:r>
      <w:r w:rsidR="007C18E9" w:rsidRPr="00B57B6A">
        <w:rPr>
          <w:rStyle w:val="FootnoteReference"/>
          <w:rFonts w:ascii="Times New Roman" w:hAnsi="Times New Roman" w:cs="Times New Roman"/>
          <w:sz w:val="24"/>
          <w:szCs w:val="24"/>
        </w:rPr>
        <w:footnoteReference w:id="131"/>
      </w:r>
      <w:r w:rsidRPr="00B57B6A">
        <w:rPr>
          <w:rFonts w:ascii="Times New Roman" w:hAnsi="Times New Roman" w:cs="Times New Roman"/>
          <w:sz w:val="24"/>
          <w:szCs w:val="24"/>
        </w:rPr>
        <w:t xml:space="preserve">  </w:t>
      </w:r>
    </w:p>
    <w:p w14:paraId="5FEFBA45" w14:textId="77777777" w:rsidR="00E555C6" w:rsidRPr="00B57B6A" w:rsidRDefault="00E555C6" w:rsidP="00BA146B">
      <w:pPr>
        <w:spacing w:after="0" w:line="240" w:lineRule="auto"/>
        <w:jc w:val="both"/>
        <w:rPr>
          <w:rFonts w:ascii="Times New Roman" w:hAnsi="Times New Roman" w:cs="Times New Roman"/>
          <w:sz w:val="24"/>
          <w:szCs w:val="24"/>
        </w:rPr>
      </w:pPr>
    </w:p>
    <w:p w14:paraId="0F2B0AF3" w14:textId="443B2812" w:rsidR="003C07C7" w:rsidRPr="00B57B6A" w:rsidRDefault="00456F7B" w:rsidP="00BA14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002E3FE5" w:rsidRPr="00B57B6A">
        <w:rPr>
          <w:rFonts w:ascii="Times New Roman" w:hAnsi="Times New Roman" w:cs="Times New Roman"/>
          <w:sz w:val="24"/>
          <w:szCs w:val="24"/>
        </w:rPr>
        <w:t>have some indication of which direction the CRPD Committee is going based on its reviews of compliance reports of the Czech Republic and Guatemala in 2016</w:t>
      </w:r>
      <w:r w:rsidR="00E555C6" w:rsidRPr="00B57B6A">
        <w:rPr>
          <w:rFonts w:ascii="Times New Roman" w:hAnsi="Times New Roman" w:cs="Times New Roman"/>
          <w:sz w:val="24"/>
          <w:szCs w:val="24"/>
        </w:rPr>
        <w:t xml:space="preserve"> and </w:t>
      </w:r>
      <w:r w:rsidR="00B17805">
        <w:rPr>
          <w:rFonts w:ascii="Times New Roman" w:hAnsi="Times New Roman" w:cs="Times New Roman"/>
          <w:sz w:val="24"/>
          <w:szCs w:val="24"/>
        </w:rPr>
        <w:t xml:space="preserve">in </w:t>
      </w:r>
      <w:r w:rsidR="00E555C6" w:rsidRPr="00B57B6A">
        <w:rPr>
          <w:rFonts w:ascii="Times New Roman" w:hAnsi="Times New Roman" w:cs="Times New Roman"/>
          <w:sz w:val="24"/>
          <w:szCs w:val="24"/>
        </w:rPr>
        <w:t>other countries before that</w:t>
      </w:r>
      <w:r w:rsidR="002E3FE5" w:rsidRPr="00B57B6A">
        <w:rPr>
          <w:rFonts w:ascii="Times New Roman" w:hAnsi="Times New Roman" w:cs="Times New Roman"/>
          <w:sz w:val="24"/>
          <w:szCs w:val="24"/>
        </w:rPr>
        <w:t>.</w:t>
      </w:r>
      <w:r w:rsidR="00E555C6" w:rsidRPr="00B57B6A">
        <w:rPr>
          <w:rStyle w:val="FootnoteReference"/>
          <w:rFonts w:ascii="Times New Roman" w:hAnsi="Times New Roman" w:cs="Times New Roman"/>
          <w:sz w:val="24"/>
          <w:szCs w:val="24"/>
        </w:rPr>
        <w:footnoteReference w:id="132"/>
      </w:r>
      <w:r w:rsidR="002E3FE5" w:rsidRPr="00B57B6A">
        <w:rPr>
          <w:rFonts w:ascii="Times New Roman" w:hAnsi="Times New Roman" w:cs="Times New Roman"/>
          <w:sz w:val="24"/>
          <w:szCs w:val="24"/>
        </w:rPr>
        <w:t xml:space="preserve"> In May 2016, the Committee called on the Czech Republic to “abolish” institution</w:t>
      </w:r>
      <w:r>
        <w:rPr>
          <w:rFonts w:ascii="Times New Roman" w:hAnsi="Times New Roman" w:cs="Times New Roman"/>
          <w:sz w:val="24"/>
          <w:szCs w:val="24"/>
        </w:rPr>
        <w:t>s for children with disabilities</w:t>
      </w:r>
      <w:r w:rsidR="007C18E9" w:rsidRPr="00B57B6A">
        <w:rPr>
          <w:rFonts w:ascii="Times New Roman" w:hAnsi="Times New Roman" w:cs="Times New Roman"/>
          <w:sz w:val="24"/>
          <w:szCs w:val="24"/>
        </w:rPr>
        <w:t>.</w:t>
      </w:r>
      <w:r w:rsidR="007C18E9" w:rsidRPr="00B57B6A">
        <w:rPr>
          <w:rStyle w:val="FootnoteReference"/>
          <w:rFonts w:ascii="Times New Roman" w:hAnsi="Times New Roman" w:cs="Times New Roman"/>
          <w:sz w:val="24"/>
          <w:szCs w:val="24"/>
        </w:rPr>
        <w:footnoteReference w:id="133"/>
      </w:r>
      <w:r w:rsidR="007C18E9" w:rsidRPr="00B57B6A">
        <w:rPr>
          <w:rFonts w:ascii="Times New Roman" w:hAnsi="Times New Roman" w:cs="Times New Roman"/>
          <w:sz w:val="24"/>
          <w:szCs w:val="24"/>
        </w:rPr>
        <w:t xml:space="preserve"> </w:t>
      </w:r>
      <w:r w:rsidR="002E3FE5" w:rsidRPr="00B57B6A">
        <w:rPr>
          <w:rFonts w:ascii="Times New Roman" w:hAnsi="Times New Roman" w:cs="Times New Roman"/>
          <w:sz w:val="24"/>
          <w:szCs w:val="24"/>
        </w:rPr>
        <w:t>In September 2016, the Committee asked Guatemala to “abolish institutionalization” of children</w:t>
      </w:r>
      <w:r>
        <w:rPr>
          <w:rFonts w:ascii="Times New Roman" w:hAnsi="Times New Roman" w:cs="Times New Roman"/>
          <w:sz w:val="24"/>
          <w:szCs w:val="24"/>
        </w:rPr>
        <w:t xml:space="preserve"> (and the Committee’s statement is </w:t>
      </w:r>
      <w:r>
        <w:rPr>
          <w:rFonts w:ascii="Times New Roman" w:hAnsi="Times New Roman" w:cs="Times New Roman"/>
          <w:i/>
          <w:sz w:val="24"/>
          <w:szCs w:val="24"/>
        </w:rPr>
        <w:t>not</w:t>
      </w:r>
      <w:r>
        <w:rPr>
          <w:rFonts w:ascii="Times New Roman" w:hAnsi="Times New Roman" w:cs="Times New Roman"/>
          <w:sz w:val="24"/>
          <w:szCs w:val="24"/>
        </w:rPr>
        <w:t xml:space="preserve"> limited to the detention of children with disabilities)</w:t>
      </w:r>
      <w:r w:rsidR="002E3FE5" w:rsidRPr="00B57B6A">
        <w:rPr>
          <w:rFonts w:ascii="Times New Roman" w:hAnsi="Times New Roman" w:cs="Times New Roman"/>
          <w:sz w:val="24"/>
          <w:szCs w:val="24"/>
        </w:rPr>
        <w:t>.</w:t>
      </w:r>
      <w:r w:rsidR="007C18E9" w:rsidRPr="00B57B6A">
        <w:rPr>
          <w:rStyle w:val="FootnoteReference"/>
          <w:rFonts w:ascii="Times New Roman" w:hAnsi="Times New Roman" w:cs="Times New Roman"/>
          <w:sz w:val="24"/>
          <w:szCs w:val="24"/>
        </w:rPr>
        <w:footnoteReference w:id="134"/>
      </w:r>
      <w:r w:rsidR="002E3FE5" w:rsidRPr="00B57B6A">
        <w:rPr>
          <w:rFonts w:ascii="Times New Roman" w:hAnsi="Times New Roman" w:cs="Times New Roman"/>
          <w:b/>
          <w:sz w:val="24"/>
          <w:szCs w:val="24"/>
        </w:rPr>
        <w:t xml:space="preserve"> </w:t>
      </w:r>
      <w:r w:rsidR="003C07C7" w:rsidRPr="00B57B6A">
        <w:rPr>
          <w:rFonts w:ascii="Times New Roman" w:hAnsi="Times New Roman" w:cs="Times New Roman"/>
          <w:sz w:val="24"/>
          <w:szCs w:val="24"/>
        </w:rPr>
        <w:t>This Comment, which appears in Spanish, appears to endors</w:t>
      </w:r>
      <w:r w:rsidR="007C18E9" w:rsidRPr="00B57B6A">
        <w:rPr>
          <w:rFonts w:ascii="Times New Roman" w:hAnsi="Times New Roman" w:cs="Times New Roman"/>
          <w:sz w:val="24"/>
          <w:szCs w:val="24"/>
        </w:rPr>
        <w:t>e</w:t>
      </w:r>
      <w:r w:rsidR="003C07C7" w:rsidRPr="00B57B6A">
        <w:rPr>
          <w:rFonts w:ascii="Times New Roman" w:hAnsi="Times New Roman" w:cs="Times New Roman"/>
          <w:sz w:val="24"/>
          <w:szCs w:val="24"/>
        </w:rPr>
        <w:t xml:space="preserve"> a moratorium on new placements in institutions.</w:t>
      </w:r>
      <w:r w:rsidR="007C18E9" w:rsidRPr="00B57B6A">
        <w:rPr>
          <w:rStyle w:val="FootnoteReference"/>
          <w:rFonts w:ascii="Times New Roman" w:hAnsi="Times New Roman" w:cs="Times New Roman"/>
          <w:sz w:val="24"/>
          <w:szCs w:val="24"/>
        </w:rPr>
        <w:footnoteReference w:id="135"/>
      </w:r>
      <w:r w:rsidR="007C18E9" w:rsidRPr="00B57B6A">
        <w:rPr>
          <w:rFonts w:ascii="Times New Roman" w:hAnsi="Times New Roman" w:cs="Times New Roman"/>
          <w:sz w:val="24"/>
          <w:szCs w:val="24"/>
        </w:rPr>
        <w:t xml:space="preserve">  </w:t>
      </w:r>
    </w:p>
    <w:p w14:paraId="33A69B62" w14:textId="77777777" w:rsidR="005563D8" w:rsidRPr="00B57B6A" w:rsidRDefault="005563D8" w:rsidP="00B57B6A">
      <w:pPr>
        <w:spacing w:after="0" w:line="240" w:lineRule="auto"/>
        <w:rPr>
          <w:rFonts w:ascii="Times New Roman" w:hAnsi="Times New Roman" w:cs="Times New Roman"/>
          <w:sz w:val="24"/>
          <w:szCs w:val="24"/>
        </w:rPr>
      </w:pPr>
    </w:p>
    <w:p w14:paraId="75E75607" w14:textId="65C2B655" w:rsidR="00E7230E" w:rsidRPr="00B57B6A" w:rsidRDefault="007D00F2" w:rsidP="00EB136D">
      <w:pPr>
        <w:pStyle w:val="Heading1"/>
        <w:numPr>
          <w:ilvl w:val="0"/>
          <w:numId w:val="35"/>
        </w:numPr>
        <w:spacing w:line="240" w:lineRule="auto"/>
        <w:rPr>
          <w:rFonts w:ascii="Times New Roman" w:hAnsi="Times New Roman" w:cs="Times New Roman"/>
          <w:b w:val="0"/>
          <w:sz w:val="24"/>
          <w:szCs w:val="24"/>
        </w:rPr>
      </w:pPr>
      <w:bookmarkStart w:id="56" w:name="_Toc471468475"/>
      <w:r w:rsidRPr="00B57B6A">
        <w:rPr>
          <w:rFonts w:ascii="Times New Roman" w:hAnsi="Times New Roman" w:cs="Times New Roman"/>
          <w:sz w:val="24"/>
          <w:szCs w:val="24"/>
        </w:rPr>
        <w:t xml:space="preserve">Standards for </w:t>
      </w:r>
      <w:r w:rsidR="002E3FE5" w:rsidRPr="00B57B6A">
        <w:rPr>
          <w:rFonts w:ascii="Times New Roman" w:hAnsi="Times New Roman" w:cs="Times New Roman"/>
          <w:sz w:val="24"/>
          <w:szCs w:val="24"/>
        </w:rPr>
        <w:t>Placement</w:t>
      </w:r>
      <w:r w:rsidR="00814346" w:rsidRPr="00B57B6A">
        <w:rPr>
          <w:rFonts w:ascii="Times New Roman" w:hAnsi="Times New Roman" w:cs="Times New Roman"/>
          <w:sz w:val="24"/>
          <w:szCs w:val="24"/>
        </w:rPr>
        <w:t xml:space="preserve"> of Children in Institutions</w:t>
      </w:r>
      <w:bookmarkEnd w:id="56"/>
    </w:p>
    <w:p w14:paraId="64F0D2E2" w14:textId="0FBFBB63" w:rsidR="003E1D43" w:rsidRPr="00B57B6A" w:rsidRDefault="003E1D43" w:rsidP="00B57B6A">
      <w:pPr>
        <w:pStyle w:val="Heading2"/>
        <w:numPr>
          <w:ilvl w:val="0"/>
          <w:numId w:val="27"/>
        </w:numPr>
        <w:spacing w:line="240" w:lineRule="auto"/>
        <w:rPr>
          <w:rFonts w:ascii="Times New Roman" w:hAnsi="Times New Roman" w:cs="Times New Roman"/>
          <w:sz w:val="24"/>
          <w:szCs w:val="24"/>
        </w:rPr>
      </w:pPr>
      <w:bookmarkStart w:id="57" w:name="_Toc471468476"/>
      <w:r w:rsidRPr="00B57B6A">
        <w:rPr>
          <w:rFonts w:ascii="Times New Roman" w:hAnsi="Times New Roman" w:cs="Times New Roman"/>
          <w:sz w:val="24"/>
          <w:szCs w:val="24"/>
        </w:rPr>
        <w:t>Implications of the CRPD</w:t>
      </w:r>
      <w:r w:rsidR="00814346" w:rsidRPr="00B57B6A">
        <w:rPr>
          <w:rFonts w:ascii="Times New Roman" w:hAnsi="Times New Roman" w:cs="Times New Roman"/>
          <w:sz w:val="24"/>
          <w:szCs w:val="24"/>
        </w:rPr>
        <w:t>: a moratorium</w:t>
      </w:r>
      <w:r w:rsidR="00CA3D17" w:rsidRPr="00B57B6A">
        <w:rPr>
          <w:rFonts w:ascii="Times New Roman" w:hAnsi="Times New Roman" w:cs="Times New Roman"/>
          <w:sz w:val="24"/>
          <w:szCs w:val="24"/>
        </w:rPr>
        <w:t xml:space="preserve"> on orphanage placement</w:t>
      </w:r>
      <w:bookmarkEnd w:id="57"/>
    </w:p>
    <w:p w14:paraId="7A5F1340" w14:textId="0E77F670" w:rsidR="00706D76" w:rsidRPr="00B57B6A" w:rsidRDefault="00706D76"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Méndez Report was submitted to the UN </w:t>
      </w:r>
      <w:r w:rsidR="006763B4">
        <w:rPr>
          <w:rFonts w:ascii="Times New Roman" w:hAnsi="Times New Roman" w:cs="Times New Roman"/>
          <w:sz w:val="24"/>
          <w:szCs w:val="24"/>
        </w:rPr>
        <w:t>Human Rights Council</w:t>
      </w:r>
      <w:r w:rsidRPr="00B57B6A">
        <w:rPr>
          <w:rFonts w:ascii="Times New Roman" w:hAnsi="Times New Roman" w:cs="Times New Roman"/>
          <w:sz w:val="24"/>
          <w:szCs w:val="24"/>
        </w:rPr>
        <w:t xml:space="preserve"> in March 2015, more than a year before the CRPD Committee took its strong stand on the abolition of orphanages and orphanage placement. If Special Rapporteur Juan Méndez had been aware of these coming developments, perhaps he would have </w:t>
      </w:r>
      <w:r w:rsidR="009B12A2">
        <w:rPr>
          <w:rFonts w:ascii="Times New Roman" w:hAnsi="Times New Roman" w:cs="Times New Roman"/>
          <w:sz w:val="24"/>
          <w:szCs w:val="24"/>
        </w:rPr>
        <w:t xml:space="preserve">explicitly </w:t>
      </w:r>
      <w:r w:rsidRPr="00B57B6A">
        <w:rPr>
          <w:rFonts w:ascii="Times New Roman" w:hAnsi="Times New Roman" w:cs="Times New Roman"/>
          <w:sz w:val="24"/>
          <w:szCs w:val="24"/>
        </w:rPr>
        <w:t>recommended a moratorium on new placements.</w:t>
      </w:r>
      <w:r w:rsidR="003E55E1">
        <w:rPr>
          <w:rFonts w:ascii="Times New Roman" w:hAnsi="Times New Roman" w:cs="Times New Roman"/>
          <w:sz w:val="24"/>
          <w:szCs w:val="24"/>
        </w:rPr>
        <w:t xml:space="preserve"> </w:t>
      </w:r>
      <w:r w:rsidRPr="00B57B6A">
        <w:rPr>
          <w:rFonts w:ascii="Times New Roman" w:hAnsi="Times New Roman" w:cs="Times New Roman"/>
          <w:sz w:val="24"/>
          <w:szCs w:val="24"/>
        </w:rPr>
        <w:t>The Mé</w:t>
      </w:r>
      <w:r w:rsidR="007E5F2A" w:rsidRPr="00B57B6A">
        <w:rPr>
          <w:rFonts w:ascii="Times New Roman" w:hAnsi="Times New Roman" w:cs="Times New Roman"/>
          <w:sz w:val="24"/>
          <w:szCs w:val="24"/>
        </w:rPr>
        <w:t>ndez’</w:t>
      </w:r>
      <w:r w:rsidR="000C4213" w:rsidRPr="00B57B6A">
        <w:rPr>
          <w:rFonts w:ascii="Times New Roman" w:hAnsi="Times New Roman" w:cs="Times New Roman"/>
          <w:sz w:val="24"/>
          <w:szCs w:val="24"/>
        </w:rPr>
        <w:t>s</w:t>
      </w:r>
      <w:r w:rsidR="0071210F" w:rsidRPr="00B57B6A">
        <w:rPr>
          <w:rFonts w:ascii="Times New Roman" w:hAnsi="Times New Roman" w:cs="Times New Roman"/>
          <w:sz w:val="24"/>
          <w:szCs w:val="24"/>
        </w:rPr>
        <w:t xml:space="preserve"> Report </w:t>
      </w:r>
      <w:r w:rsidRPr="00B57B6A">
        <w:rPr>
          <w:rFonts w:ascii="Times New Roman" w:hAnsi="Times New Roman" w:cs="Times New Roman"/>
          <w:sz w:val="24"/>
          <w:szCs w:val="24"/>
        </w:rPr>
        <w:t xml:space="preserve">does </w:t>
      </w:r>
      <w:r w:rsidR="0071210F" w:rsidRPr="00B57B6A">
        <w:rPr>
          <w:rFonts w:ascii="Times New Roman" w:hAnsi="Times New Roman" w:cs="Times New Roman"/>
          <w:sz w:val="24"/>
          <w:szCs w:val="24"/>
        </w:rPr>
        <w:t xml:space="preserve">recommend a total ban </w:t>
      </w:r>
      <w:r w:rsidR="001A5112" w:rsidRPr="00B57B6A">
        <w:rPr>
          <w:rFonts w:ascii="Times New Roman" w:hAnsi="Times New Roman" w:cs="Times New Roman"/>
          <w:sz w:val="24"/>
          <w:szCs w:val="24"/>
        </w:rPr>
        <w:t xml:space="preserve">on any placement </w:t>
      </w:r>
      <w:r w:rsidR="00240737" w:rsidRPr="00B57B6A">
        <w:rPr>
          <w:rFonts w:ascii="Times New Roman" w:hAnsi="Times New Roman" w:cs="Times New Roman"/>
          <w:sz w:val="24"/>
          <w:szCs w:val="24"/>
        </w:rPr>
        <w:t>in “administrative immigration detention,” e.g. children detained because they are in violation of immigration laws</w:t>
      </w:r>
      <w:r w:rsidR="001A5112" w:rsidRPr="00B57B6A">
        <w:rPr>
          <w:rFonts w:ascii="Times New Roman" w:hAnsi="Times New Roman" w:cs="Times New Roman"/>
          <w:sz w:val="24"/>
          <w:szCs w:val="24"/>
        </w:rPr>
        <w:t xml:space="preserve">. </w:t>
      </w:r>
    </w:p>
    <w:p w14:paraId="5DF753F7" w14:textId="1E2372AE" w:rsidR="003F5FAB" w:rsidRDefault="001A5112"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With regard to </w:t>
      </w:r>
      <w:r w:rsidR="00706D76" w:rsidRPr="00B57B6A">
        <w:rPr>
          <w:rFonts w:ascii="Times New Roman" w:hAnsi="Times New Roman" w:cs="Times New Roman"/>
          <w:sz w:val="24"/>
          <w:szCs w:val="24"/>
        </w:rPr>
        <w:t>children in immigration detention</w:t>
      </w:r>
      <w:r w:rsidRPr="00B57B6A">
        <w:rPr>
          <w:rFonts w:ascii="Times New Roman" w:hAnsi="Times New Roman" w:cs="Times New Roman"/>
          <w:sz w:val="24"/>
          <w:szCs w:val="24"/>
        </w:rPr>
        <w:t xml:space="preserve">, </w:t>
      </w:r>
      <w:r w:rsidR="00DB0C8B" w:rsidRPr="00B57B6A">
        <w:rPr>
          <w:rFonts w:ascii="Times New Roman" w:hAnsi="Times New Roman" w:cs="Times New Roman"/>
          <w:sz w:val="24"/>
          <w:szCs w:val="24"/>
        </w:rPr>
        <w:t xml:space="preserve">the Méndez Report </w:t>
      </w:r>
      <w:r w:rsidRPr="00B57B6A">
        <w:rPr>
          <w:rFonts w:ascii="Times New Roman" w:hAnsi="Times New Roman" w:cs="Times New Roman"/>
          <w:sz w:val="24"/>
          <w:szCs w:val="24"/>
        </w:rPr>
        <w:t xml:space="preserve">states that even short-term detention violates the protection </w:t>
      </w:r>
      <w:r w:rsidRPr="002E00E4">
        <w:rPr>
          <w:rFonts w:ascii="Times New Roman" w:hAnsi="Times New Roman" w:cs="Times New Roman"/>
          <w:sz w:val="24"/>
          <w:szCs w:val="24"/>
        </w:rPr>
        <w:t>against torture or ill-treatment and should be banned.</w:t>
      </w:r>
      <w:r w:rsidRPr="002E00E4">
        <w:rPr>
          <w:rFonts w:ascii="Times New Roman" w:hAnsi="Times New Roman" w:cs="Times New Roman"/>
          <w:sz w:val="24"/>
          <w:szCs w:val="24"/>
          <w:vertAlign w:val="superscript"/>
        </w:rPr>
        <w:footnoteReference w:id="136"/>
      </w:r>
      <w:r w:rsidRPr="002E00E4">
        <w:rPr>
          <w:rFonts w:ascii="Times New Roman" w:hAnsi="Times New Roman" w:cs="Times New Roman"/>
          <w:sz w:val="24"/>
          <w:szCs w:val="24"/>
        </w:rPr>
        <w:t xml:space="preserve"> </w:t>
      </w:r>
      <w:r w:rsidR="00240737" w:rsidRPr="002E00E4">
        <w:rPr>
          <w:rFonts w:ascii="Times New Roman" w:hAnsi="Times New Roman" w:cs="Times New Roman"/>
          <w:sz w:val="24"/>
          <w:szCs w:val="24"/>
        </w:rPr>
        <w:t>He states that detention is “</w:t>
      </w:r>
      <w:r w:rsidR="00240737" w:rsidRPr="002E00E4">
        <w:rPr>
          <w:rFonts w:ascii="Times New Roman" w:hAnsi="Times New Roman" w:cs="Times New Roman"/>
          <w:i/>
          <w:sz w:val="24"/>
          <w:szCs w:val="24"/>
        </w:rPr>
        <w:t>never</w:t>
      </w:r>
      <w:r w:rsidR="00240737" w:rsidRPr="002E00E4">
        <w:rPr>
          <w:rFonts w:ascii="Times New Roman" w:hAnsi="Times New Roman" w:cs="Times New Roman"/>
          <w:sz w:val="24"/>
          <w:szCs w:val="24"/>
        </w:rPr>
        <w:t xml:space="preserve"> in the best interest of the child, exceeds the requirements of necessity, and becomes grossly disproportionate” to any legitimate need.</w:t>
      </w:r>
      <w:r w:rsidR="00240737" w:rsidRPr="002E00E4">
        <w:rPr>
          <w:rFonts w:ascii="Times New Roman" w:hAnsi="Times New Roman" w:cs="Times New Roman"/>
          <w:sz w:val="24"/>
          <w:szCs w:val="24"/>
          <w:vertAlign w:val="superscript"/>
        </w:rPr>
        <w:footnoteReference w:id="137"/>
      </w:r>
      <w:r w:rsidR="00240737" w:rsidRPr="002E00E4">
        <w:rPr>
          <w:rFonts w:ascii="Times New Roman" w:hAnsi="Times New Roman" w:cs="Times New Roman"/>
          <w:sz w:val="24"/>
          <w:szCs w:val="24"/>
        </w:rPr>
        <w:t xml:space="preserve"> Therefore, States should “</w:t>
      </w:r>
      <w:r w:rsidR="003F5FAB">
        <w:rPr>
          <w:rFonts w:ascii="Times New Roman" w:hAnsi="Times New Roman" w:cs="Times New Roman"/>
          <w:sz w:val="24"/>
          <w:szCs w:val="24"/>
        </w:rPr>
        <w:t>…</w:t>
      </w:r>
      <w:r w:rsidR="00DD1206" w:rsidRPr="002E00E4">
        <w:rPr>
          <w:rFonts w:ascii="Times New Roman" w:hAnsi="Times New Roman" w:cs="Times New Roman"/>
          <w:sz w:val="24"/>
          <w:szCs w:val="24"/>
        </w:rPr>
        <w:t>expeditiously</w:t>
      </w:r>
      <w:r w:rsidR="00240737" w:rsidRPr="002E00E4">
        <w:rPr>
          <w:rFonts w:ascii="Times New Roman" w:hAnsi="Times New Roman" w:cs="Times New Roman"/>
          <w:sz w:val="24"/>
          <w:szCs w:val="24"/>
        </w:rPr>
        <w:t xml:space="preserve"> and completely</w:t>
      </w:r>
      <w:r w:rsidR="003F5FAB">
        <w:rPr>
          <w:rFonts w:ascii="Times New Roman" w:hAnsi="Times New Roman" w:cs="Times New Roman"/>
          <w:sz w:val="24"/>
          <w:szCs w:val="24"/>
        </w:rPr>
        <w:t>,</w:t>
      </w:r>
      <w:r w:rsidR="00240737" w:rsidRPr="002E00E4">
        <w:rPr>
          <w:rFonts w:ascii="Times New Roman" w:hAnsi="Times New Roman" w:cs="Times New Roman"/>
          <w:sz w:val="24"/>
          <w:szCs w:val="24"/>
        </w:rPr>
        <w:t xml:space="preserve"> cease the detention</w:t>
      </w:r>
      <w:r w:rsidR="00DA29C3" w:rsidRPr="002E00E4">
        <w:rPr>
          <w:rFonts w:ascii="Times New Roman" w:hAnsi="Times New Roman" w:cs="Times New Roman"/>
          <w:sz w:val="24"/>
          <w:szCs w:val="24"/>
        </w:rPr>
        <w:t xml:space="preserve"> of children</w:t>
      </w:r>
      <w:r w:rsidR="00240737" w:rsidRPr="002E00E4">
        <w:rPr>
          <w:rFonts w:ascii="Times New Roman" w:hAnsi="Times New Roman" w:cs="Times New Roman"/>
          <w:sz w:val="24"/>
          <w:szCs w:val="24"/>
        </w:rPr>
        <w:t>, with or without their parents, on the basis of their immigration status.</w:t>
      </w:r>
      <w:r w:rsidR="00DA29C3" w:rsidRPr="002E00E4">
        <w:rPr>
          <w:rFonts w:ascii="Times New Roman" w:hAnsi="Times New Roman" w:cs="Times New Roman"/>
          <w:sz w:val="24"/>
          <w:szCs w:val="24"/>
        </w:rPr>
        <w:t>”</w:t>
      </w:r>
      <w:r w:rsidR="00240737" w:rsidRPr="002E00E4">
        <w:rPr>
          <w:rFonts w:ascii="Times New Roman" w:hAnsi="Times New Roman" w:cs="Times New Roman"/>
          <w:sz w:val="24"/>
          <w:szCs w:val="24"/>
          <w:vertAlign w:val="superscript"/>
        </w:rPr>
        <w:footnoteReference w:id="138"/>
      </w:r>
      <w:r w:rsidR="0066171B" w:rsidRPr="002E00E4">
        <w:rPr>
          <w:rFonts w:ascii="Times New Roman" w:hAnsi="Times New Roman" w:cs="Times New Roman"/>
          <w:sz w:val="24"/>
          <w:szCs w:val="24"/>
        </w:rPr>
        <w:t xml:space="preserve"> </w:t>
      </w:r>
      <w:r w:rsidR="00240737" w:rsidRPr="002E00E4">
        <w:rPr>
          <w:rFonts w:ascii="Times New Roman" w:hAnsi="Times New Roman" w:cs="Times New Roman"/>
          <w:sz w:val="24"/>
          <w:szCs w:val="24"/>
        </w:rPr>
        <w:t>Given the need for children to remain with their family, “the imperative requirement not to deprive the child of liberty extends to the child’s parents, and requires the authorities to cho</w:t>
      </w:r>
      <w:r w:rsidR="005B3271" w:rsidRPr="002E00E4">
        <w:rPr>
          <w:rFonts w:ascii="Times New Roman" w:hAnsi="Times New Roman" w:cs="Times New Roman"/>
          <w:sz w:val="24"/>
          <w:szCs w:val="24"/>
        </w:rPr>
        <w:t>o</w:t>
      </w:r>
      <w:r w:rsidR="00240737" w:rsidRPr="002E00E4">
        <w:rPr>
          <w:rFonts w:ascii="Times New Roman" w:hAnsi="Times New Roman" w:cs="Times New Roman"/>
          <w:sz w:val="24"/>
          <w:szCs w:val="24"/>
        </w:rPr>
        <w:t>se alternative</w:t>
      </w:r>
      <w:r w:rsidR="00240737" w:rsidRPr="00B57B6A">
        <w:rPr>
          <w:rFonts w:ascii="Times New Roman" w:hAnsi="Times New Roman" w:cs="Times New Roman"/>
          <w:sz w:val="24"/>
          <w:szCs w:val="24"/>
        </w:rPr>
        <w:t xml:space="preserve"> measures to detention for the entire family.”</w:t>
      </w:r>
      <w:r w:rsidR="00240737" w:rsidRPr="00B57B6A">
        <w:rPr>
          <w:rFonts w:ascii="Times New Roman" w:hAnsi="Times New Roman" w:cs="Times New Roman"/>
          <w:sz w:val="24"/>
          <w:szCs w:val="24"/>
          <w:vertAlign w:val="superscript"/>
        </w:rPr>
        <w:footnoteReference w:id="139"/>
      </w:r>
      <w:r w:rsidR="00706D76" w:rsidRPr="00B57B6A">
        <w:rPr>
          <w:rFonts w:ascii="Times New Roman" w:hAnsi="Times New Roman" w:cs="Times New Roman"/>
          <w:sz w:val="24"/>
          <w:szCs w:val="24"/>
        </w:rPr>
        <w:t xml:space="preserve">  </w:t>
      </w:r>
    </w:p>
    <w:p w14:paraId="59972288" w14:textId="2B35E435" w:rsidR="004E6A7F" w:rsidRPr="00B57B6A" w:rsidRDefault="00DB0C8B" w:rsidP="00B57B6A">
      <w:pPr>
        <w:spacing w:line="240" w:lineRule="auto"/>
        <w:jc w:val="both"/>
        <w:rPr>
          <w:rFonts w:ascii="Times New Roman" w:hAnsi="Times New Roman" w:cs="Times New Roman"/>
          <w:b/>
          <w:sz w:val="24"/>
          <w:szCs w:val="24"/>
        </w:rPr>
      </w:pPr>
      <w:r w:rsidRPr="00B57B6A">
        <w:rPr>
          <w:rFonts w:ascii="Times New Roman" w:hAnsi="Times New Roman" w:cs="Times New Roman"/>
          <w:sz w:val="24"/>
          <w:szCs w:val="24"/>
        </w:rPr>
        <w:t>The Méndez Report</w:t>
      </w:r>
      <w:r w:rsidR="00240737" w:rsidRPr="00B57B6A">
        <w:rPr>
          <w:rFonts w:ascii="Times New Roman" w:hAnsi="Times New Roman" w:cs="Times New Roman"/>
          <w:sz w:val="24"/>
          <w:szCs w:val="24"/>
        </w:rPr>
        <w:t xml:space="preserve"> does not adopt similarly strong and clear language with respect to children in custodial institutions or orphanages. </w:t>
      </w:r>
      <w:r w:rsidR="005B3271" w:rsidRPr="00B57B6A">
        <w:rPr>
          <w:rFonts w:ascii="Times New Roman" w:hAnsi="Times New Roman" w:cs="Times New Roman"/>
          <w:sz w:val="24"/>
          <w:szCs w:val="24"/>
        </w:rPr>
        <w:t xml:space="preserve">If he had taken into consideration the CRPD’s recognition of the right to community integration, however, he might have been just as explicit. </w:t>
      </w:r>
      <w:r w:rsidR="007C18E9" w:rsidRPr="00B57B6A">
        <w:rPr>
          <w:rFonts w:ascii="Times New Roman" w:hAnsi="Times New Roman" w:cs="Times New Roman"/>
          <w:sz w:val="24"/>
          <w:szCs w:val="24"/>
        </w:rPr>
        <w:t>S</w:t>
      </w:r>
      <w:r w:rsidRPr="00B57B6A">
        <w:rPr>
          <w:rFonts w:ascii="Times New Roman" w:hAnsi="Times New Roman" w:cs="Times New Roman"/>
          <w:sz w:val="24"/>
          <w:szCs w:val="24"/>
        </w:rPr>
        <w:t xml:space="preserve">pecial Rapporteur Méndez </w:t>
      </w:r>
      <w:r w:rsidR="00B31508" w:rsidRPr="00B57B6A">
        <w:rPr>
          <w:rFonts w:ascii="Times New Roman" w:hAnsi="Times New Roman" w:cs="Times New Roman"/>
          <w:sz w:val="24"/>
          <w:szCs w:val="24"/>
        </w:rPr>
        <w:t xml:space="preserve">has </w:t>
      </w:r>
      <w:r w:rsidR="007C18E9" w:rsidRPr="00B57B6A">
        <w:rPr>
          <w:rFonts w:ascii="Times New Roman" w:hAnsi="Times New Roman" w:cs="Times New Roman"/>
          <w:sz w:val="24"/>
          <w:szCs w:val="24"/>
        </w:rPr>
        <w:t>already</w:t>
      </w:r>
      <w:r w:rsidR="00B31508" w:rsidRPr="00B57B6A">
        <w:rPr>
          <w:rFonts w:ascii="Times New Roman" w:hAnsi="Times New Roman" w:cs="Times New Roman"/>
          <w:sz w:val="24"/>
          <w:szCs w:val="24"/>
        </w:rPr>
        <w:t xml:space="preserve"> provided valuable guidance</w:t>
      </w:r>
      <w:r w:rsidR="007C18E9" w:rsidRPr="00B57B6A">
        <w:rPr>
          <w:rFonts w:ascii="Times New Roman" w:hAnsi="Times New Roman" w:cs="Times New Roman"/>
          <w:sz w:val="24"/>
          <w:szCs w:val="24"/>
        </w:rPr>
        <w:t>, however,</w:t>
      </w:r>
      <w:r w:rsidR="00B31508" w:rsidRPr="00B57B6A">
        <w:rPr>
          <w:rFonts w:ascii="Times New Roman" w:hAnsi="Times New Roman" w:cs="Times New Roman"/>
          <w:sz w:val="24"/>
          <w:szCs w:val="24"/>
        </w:rPr>
        <w:t xml:space="preserve"> on the requirements of the protection against torture</w:t>
      </w:r>
      <w:r w:rsidR="00EF6645" w:rsidRPr="00B57B6A">
        <w:rPr>
          <w:rFonts w:ascii="Times New Roman" w:hAnsi="Times New Roman" w:cs="Times New Roman"/>
          <w:sz w:val="24"/>
          <w:szCs w:val="24"/>
        </w:rPr>
        <w:t xml:space="preserve"> </w:t>
      </w:r>
      <w:r w:rsidR="00B31508" w:rsidRPr="00B57B6A">
        <w:rPr>
          <w:rFonts w:ascii="Times New Roman" w:hAnsi="Times New Roman" w:cs="Times New Roman"/>
          <w:sz w:val="24"/>
          <w:szCs w:val="24"/>
        </w:rPr>
        <w:t xml:space="preserve">as interpreted under the CRPD. </w:t>
      </w:r>
      <w:r w:rsidR="004E6A7F" w:rsidRPr="00B57B6A">
        <w:rPr>
          <w:rFonts w:ascii="Times New Roman" w:hAnsi="Times New Roman" w:cs="Times New Roman"/>
          <w:sz w:val="24"/>
          <w:szCs w:val="24"/>
        </w:rPr>
        <w:t>In his 2013 report on Torture in Healthcare,</w:t>
      </w:r>
      <w:r w:rsidR="00EF6645"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Méndez </w:t>
      </w:r>
      <w:r w:rsidR="004E6A7F" w:rsidRPr="00B57B6A">
        <w:rPr>
          <w:rFonts w:ascii="Times New Roman" w:hAnsi="Times New Roman" w:cs="Times New Roman"/>
          <w:sz w:val="24"/>
          <w:szCs w:val="24"/>
        </w:rPr>
        <w:t>cites th</w:t>
      </w:r>
      <w:r w:rsidR="00EF6645" w:rsidRPr="00B57B6A">
        <w:rPr>
          <w:rFonts w:ascii="Times New Roman" w:hAnsi="Times New Roman" w:cs="Times New Roman"/>
          <w:sz w:val="24"/>
          <w:szCs w:val="24"/>
        </w:rPr>
        <w:t xml:space="preserve">at </w:t>
      </w:r>
      <w:r w:rsidR="004E6A7F" w:rsidRPr="00B57B6A">
        <w:rPr>
          <w:rFonts w:ascii="Times New Roman" w:hAnsi="Times New Roman" w:cs="Times New Roman"/>
          <w:sz w:val="24"/>
          <w:szCs w:val="24"/>
        </w:rPr>
        <w:t xml:space="preserve">protecting the right to choice </w:t>
      </w:r>
      <w:r w:rsidR="00EF6645" w:rsidRPr="00B57B6A">
        <w:rPr>
          <w:rFonts w:ascii="Times New Roman" w:hAnsi="Times New Roman" w:cs="Times New Roman"/>
          <w:sz w:val="24"/>
          <w:szCs w:val="24"/>
        </w:rPr>
        <w:t>i</w:t>
      </w:r>
      <w:r w:rsidR="004E6A7F" w:rsidRPr="00B57B6A">
        <w:rPr>
          <w:rFonts w:ascii="Times New Roman" w:hAnsi="Times New Roman" w:cs="Times New Roman"/>
          <w:sz w:val="24"/>
          <w:szCs w:val="24"/>
        </w:rPr>
        <w:t>s critical to the protection against torture.</w:t>
      </w:r>
      <w:r w:rsidR="004E6A7F" w:rsidRPr="00B57B6A">
        <w:rPr>
          <w:rFonts w:ascii="Times New Roman" w:hAnsi="Times New Roman" w:cs="Times New Roman"/>
          <w:sz w:val="24"/>
          <w:szCs w:val="24"/>
          <w:vertAlign w:val="superscript"/>
        </w:rPr>
        <w:footnoteReference w:id="140"/>
      </w:r>
      <w:r w:rsidR="000C4213" w:rsidRPr="00B57B6A">
        <w:rPr>
          <w:rFonts w:ascii="Times New Roman" w:hAnsi="Times New Roman" w:cs="Times New Roman"/>
          <w:sz w:val="24"/>
          <w:szCs w:val="24"/>
        </w:rPr>
        <w:t xml:space="preserve"> H</w:t>
      </w:r>
      <w:r w:rsidR="004E6A7F" w:rsidRPr="00B57B6A">
        <w:rPr>
          <w:rFonts w:ascii="Times New Roman" w:hAnsi="Times New Roman" w:cs="Times New Roman"/>
          <w:sz w:val="24"/>
          <w:szCs w:val="24"/>
        </w:rPr>
        <w:t>e concludes that “[l]egislation authorizing institutionalization of persons with disabilities on the grounds of their disability without their free and informed consent must be abolished.”</w:t>
      </w:r>
      <w:r w:rsidR="004E6A7F" w:rsidRPr="00B57B6A">
        <w:rPr>
          <w:rFonts w:ascii="Times New Roman" w:hAnsi="Times New Roman" w:cs="Times New Roman"/>
          <w:sz w:val="24"/>
          <w:szCs w:val="24"/>
          <w:vertAlign w:val="superscript"/>
        </w:rPr>
        <w:footnoteReference w:id="141"/>
      </w:r>
    </w:p>
    <w:p w14:paraId="77238452" w14:textId="4AB29F27" w:rsidR="00775282" w:rsidRPr="00B57B6A" w:rsidRDefault="00DB0C8B"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Special Rapporteur</w:t>
      </w:r>
      <w:r w:rsidR="004E6A7F"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Méndez’ earlier </w:t>
      </w:r>
      <w:r w:rsidR="004E6A7F" w:rsidRPr="00B57B6A">
        <w:rPr>
          <w:rFonts w:ascii="Times New Roman" w:hAnsi="Times New Roman" w:cs="Times New Roman"/>
          <w:sz w:val="24"/>
          <w:szCs w:val="24"/>
        </w:rPr>
        <w:t>recommendation on</w:t>
      </w:r>
      <w:r w:rsidR="00B31508" w:rsidRPr="00B57B6A">
        <w:rPr>
          <w:rFonts w:ascii="Times New Roman" w:hAnsi="Times New Roman" w:cs="Times New Roman"/>
          <w:sz w:val="24"/>
          <w:szCs w:val="24"/>
        </w:rPr>
        <w:t xml:space="preserve"> the abolition of</w:t>
      </w:r>
      <w:r w:rsidR="004E6A7F" w:rsidRPr="00B57B6A">
        <w:rPr>
          <w:rFonts w:ascii="Times New Roman" w:hAnsi="Times New Roman" w:cs="Times New Roman"/>
          <w:sz w:val="24"/>
          <w:szCs w:val="24"/>
        </w:rPr>
        <w:t xml:space="preserve"> involuntary admission </w:t>
      </w:r>
      <w:r w:rsidR="00B31508" w:rsidRPr="00B57B6A">
        <w:rPr>
          <w:rFonts w:ascii="Times New Roman" w:hAnsi="Times New Roman" w:cs="Times New Roman"/>
          <w:sz w:val="24"/>
          <w:szCs w:val="24"/>
        </w:rPr>
        <w:t>rest</w:t>
      </w:r>
      <w:r w:rsidR="007079BF" w:rsidRPr="00B57B6A">
        <w:rPr>
          <w:rFonts w:ascii="Times New Roman" w:hAnsi="Times New Roman" w:cs="Times New Roman"/>
          <w:sz w:val="24"/>
          <w:szCs w:val="24"/>
        </w:rPr>
        <w:t>s</w:t>
      </w:r>
      <w:r w:rsidR="004E6A7F" w:rsidRPr="00B57B6A">
        <w:rPr>
          <w:rFonts w:ascii="Times New Roman" w:hAnsi="Times New Roman" w:cs="Times New Roman"/>
          <w:sz w:val="24"/>
          <w:szCs w:val="24"/>
        </w:rPr>
        <w:t>, in part,</w:t>
      </w:r>
      <w:r w:rsidR="00B31508" w:rsidRPr="00B57B6A">
        <w:rPr>
          <w:rFonts w:ascii="Times New Roman" w:hAnsi="Times New Roman" w:cs="Times New Roman"/>
          <w:sz w:val="24"/>
          <w:szCs w:val="24"/>
        </w:rPr>
        <w:t xml:space="preserve"> on the issue of “voluntariness.” </w:t>
      </w:r>
      <w:r w:rsidR="004E6A7F" w:rsidRPr="00B57B6A">
        <w:rPr>
          <w:rFonts w:ascii="Times New Roman" w:hAnsi="Times New Roman" w:cs="Times New Roman"/>
          <w:sz w:val="24"/>
          <w:szCs w:val="24"/>
        </w:rPr>
        <w:t xml:space="preserve">An innovative provision of the </w:t>
      </w:r>
      <w:r w:rsidR="0071210F" w:rsidRPr="00B57B6A">
        <w:rPr>
          <w:rFonts w:ascii="Times New Roman" w:hAnsi="Times New Roman" w:cs="Times New Roman"/>
          <w:sz w:val="24"/>
          <w:szCs w:val="24"/>
        </w:rPr>
        <w:t>CRPD</w:t>
      </w:r>
      <w:r w:rsidR="004E6A7F" w:rsidRPr="00B57B6A">
        <w:rPr>
          <w:rFonts w:ascii="Times New Roman" w:hAnsi="Times New Roman" w:cs="Times New Roman"/>
          <w:sz w:val="24"/>
          <w:szCs w:val="24"/>
        </w:rPr>
        <w:t>, article 12,</w:t>
      </w:r>
      <w:r w:rsidR="0071210F" w:rsidRPr="00B57B6A">
        <w:rPr>
          <w:rFonts w:ascii="Times New Roman" w:hAnsi="Times New Roman" w:cs="Times New Roman"/>
          <w:sz w:val="24"/>
          <w:szCs w:val="24"/>
        </w:rPr>
        <w:t xml:space="preserve"> recognizes the right of persons with disabilities to make choic</w:t>
      </w:r>
      <w:r w:rsidR="00775282" w:rsidRPr="00B57B6A">
        <w:rPr>
          <w:rFonts w:ascii="Times New Roman" w:hAnsi="Times New Roman" w:cs="Times New Roman"/>
          <w:sz w:val="24"/>
          <w:szCs w:val="24"/>
        </w:rPr>
        <w:t xml:space="preserve">es for themselves. Throughout the world, adults </w:t>
      </w:r>
      <w:r w:rsidR="0071210F" w:rsidRPr="00B57B6A">
        <w:rPr>
          <w:rFonts w:ascii="Times New Roman" w:hAnsi="Times New Roman" w:cs="Times New Roman"/>
          <w:sz w:val="24"/>
          <w:szCs w:val="24"/>
        </w:rPr>
        <w:t xml:space="preserve">with disabilities </w:t>
      </w:r>
      <w:r w:rsidR="00775282" w:rsidRPr="00B57B6A">
        <w:rPr>
          <w:rFonts w:ascii="Times New Roman" w:hAnsi="Times New Roman" w:cs="Times New Roman"/>
          <w:sz w:val="24"/>
          <w:szCs w:val="24"/>
        </w:rPr>
        <w:t xml:space="preserve">– especially adults with intellectual or psychosocial disabilities – </w:t>
      </w:r>
      <w:r w:rsidR="00775282" w:rsidRPr="00B57B6A">
        <w:rPr>
          <w:rFonts w:ascii="Times New Roman" w:hAnsi="Times New Roman" w:cs="Times New Roman"/>
          <w:sz w:val="24"/>
          <w:szCs w:val="24"/>
        </w:rPr>
        <w:lastRenderedPageBreak/>
        <w:t xml:space="preserve">are seen as unable to make decisions and </w:t>
      </w:r>
      <w:r w:rsidR="00DD1206" w:rsidRPr="00B57B6A">
        <w:rPr>
          <w:rFonts w:ascii="Times New Roman" w:hAnsi="Times New Roman" w:cs="Times New Roman"/>
          <w:sz w:val="24"/>
          <w:szCs w:val="24"/>
        </w:rPr>
        <w:t>are placed</w:t>
      </w:r>
      <w:r w:rsidR="0071210F" w:rsidRPr="00B57B6A">
        <w:rPr>
          <w:rFonts w:ascii="Times New Roman" w:hAnsi="Times New Roman" w:cs="Times New Roman"/>
          <w:sz w:val="24"/>
          <w:szCs w:val="24"/>
        </w:rPr>
        <w:t xml:space="preserve"> under guardianship. When a guardian makes a “substitute decision” that detention is in a </w:t>
      </w:r>
      <w:r w:rsidR="00775282" w:rsidRPr="00B57B6A">
        <w:rPr>
          <w:rFonts w:ascii="Times New Roman" w:hAnsi="Times New Roman" w:cs="Times New Roman"/>
          <w:sz w:val="24"/>
          <w:szCs w:val="24"/>
        </w:rPr>
        <w:t>person’s best interest, many legal systems recognize</w:t>
      </w:r>
      <w:r w:rsidR="0071210F" w:rsidRPr="00B57B6A">
        <w:rPr>
          <w:rFonts w:ascii="Times New Roman" w:hAnsi="Times New Roman" w:cs="Times New Roman"/>
          <w:sz w:val="24"/>
          <w:szCs w:val="24"/>
        </w:rPr>
        <w:t xml:space="preserve"> </w:t>
      </w:r>
      <w:r w:rsidR="00775282" w:rsidRPr="00B57B6A">
        <w:rPr>
          <w:rFonts w:ascii="Times New Roman" w:hAnsi="Times New Roman" w:cs="Times New Roman"/>
          <w:sz w:val="24"/>
          <w:szCs w:val="24"/>
        </w:rPr>
        <w:t xml:space="preserve">a legal fiction that </w:t>
      </w:r>
      <w:r w:rsidR="002F410D" w:rsidRPr="00B57B6A">
        <w:rPr>
          <w:rFonts w:ascii="Times New Roman" w:hAnsi="Times New Roman" w:cs="Times New Roman"/>
          <w:sz w:val="24"/>
          <w:szCs w:val="24"/>
        </w:rPr>
        <w:t>detention is voluntary</w:t>
      </w:r>
      <w:r w:rsidR="00775282" w:rsidRPr="00B57B6A">
        <w:rPr>
          <w:rFonts w:ascii="Times New Roman" w:hAnsi="Times New Roman" w:cs="Times New Roman"/>
          <w:sz w:val="24"/>
          <w:szCs w:val="24"/>
        </w:rPr>
        <w:t xml:space="preserve"> since the guardian is acting in the best interest of his or her ward</w:t>
      </w:r>
      <w:r w:rsidR="002F410D" w:rsidRPr="00B57B6A">
        <w:rPr>
          <w:rFonts w:ascii="Times New Roman" w:hAnsi="Times New Roman" w:cs="Times New Roman"/>
          <w:sz w:val="24"/>
          <w:szCs w:val="24"/>
        </w:rPr>
        <w:t xml:space="preserve">. With the adoption of the CRPD, </w:t>
      </w:r>
      <w:r w:rsidR="00775282" w:rsidRPr="00B57B6A">
        <w:rPr>
          <w:rFonts w:ascii="Times New Roman" w:hAnsi="Times New Roman" w:cs="Times New Roman"/>
          <w:sz w:val="24"/>
          <w:szCs w:val="24"/>
        </w:rPr>
        <w:t xml:space="preserve">persons with disabilities </w:t>
      </w:r>
      <w:r w:rsidR="002F410D" w:rsidRPr="00B57B6A">
        <w:rPr>
          <w:rFonts w:ascii="Times New Roman" w:hAnsi="Times New Roman" w:cs="Times New Roman"/>
          <w:sz w:val="24"/>
          <w:szCs w:val="24"/>
        </w:rPr>
        <w:t xml:space="preserve">have a right to support in making decisions for themselves. If a person has difficulty </w:t>
      </w:r>
      <w:r w:rsidR="00775282" w:rsidRPr="00B57B6A">
        <w:rPr>
          <w:rFonts w:ascii="Times New Roman" w:hAnsi="Times New Roman" w:cs="Times New Roman"/>
          <w:sz w:val="24"/>
          <w:szCs w:val="24"/>
        </w:rPr>
        <w:t>making a decision, they have</w:t>
      </w:r>
      <w:r w:rsidR="002F410D" w:rsidRPr="00B57B6A">
        <w:rPr>
          <w:rFonts w:ascii="Times New Roman" w:hAnsi="Times New Roman" w:cs="Times New Roman"/>
          <w:sz w:val="24"/>
          <w:szCs w:val="24"/>
        </w:rPr>
        <w:t xml:space="preserve"> a right to support in decision-making. </w:t>
      </w:r>
      <w:r w:rsidR="00775282" w:rsidRPr="00B57B6A">
        <w:rPr>
          <w:rFonts w:ascii="Times New Roman" w:hAnsi="Times New Roman" w:cs="Times New Roman"/>
          <w:sz w:val="24"/>
          <w:szCs w:val="24"/>
        </w:rPr>
        <w:t>Yet</w:t>
      </w:r>
      <w:r w:rsidR="0021189C" w:rsidRPr="00B57B6A">
        <w:rPr>
          <w:rFonts w:ascii="Times New Roman" w:hAnsi="Times New Roman" w:cs="Times New Roman"/>
          <w:sz w:val="24"/>
          <w:szCs w:val="24"/>
        </w:rPr>
        <w:t>,</w:t>
      </w:r>
      <w:r w:rsidR="00775282" w:rsidRPr="00B57B6A">
        <w:rPr>
          <w:rFonts w:ascii="Times New Roman" w:hAnsi="Times New Roman" w:cs="Times New Roman"/>
          <w:sz w:val="24"/>
          <w:szCs w:val="24"/>
        </w:rPr>
        <w:t xml:space="preserve"> the protection against torture creates an absolute limitation on subjecting any individual to severe pain or suffering. </w:t>
      </w:r>
      <w:r w:rsidR="000C4213" w:rsidRPr="00B57B6A">
        <w:rPr>
          <w:rFonts w:ascii="Times New Roman" w:hAnsi="Times New Roman" w:cs="Times New Roman"/>
          <w:sz w:val="24"/>
          <w:szCs w:val="24"/>
        </w:rPr>
        <w:t>Even if a guardian or health</w:t>
      </w:r>
      <w:r w:rsidR="00775282" w:rsidRPr="00B57B6A">
        <w:rPr>
          <w:rFonts w:ascii="Times New Roman" w:hAnsi="Times New Roman" w:cs="Times New Roman"/>
          <w:sz w:val="24"/>
          <w:szCs w:val="24"/>
        </w:rPr>
        <w:t xml:space="preserve">care provider claims to be acting in the best interest of this individual, </w:t>
      </w:r>
      <w:r w:rsidRPr="00B57B6A">
        <w:rPr>
          <w:rFonts w:ascii="Times New Roman" w:hAnsi="Times New Roman" w:cs="Times New Roman"/>
          <w:sz w:val="24"/>
          <w:szCs w:val="24"/>
        </w:rPr>
        <w:t>the Special Rapporteur</w:t>
      </w:r>
      <w:r w:rsidR="002F410D" w:rsidRPr="00B57B6A">
        <w:rPr>
          <w:rFonts w:ascii="Times New Roman" w:hAnsi="Times New Roman" w:cs="Times New Roman"/>
          <w:sz w:val="24"/>
          <w:szCs w:val="24"/>
        </w:rPr>
        <w:t xml:space="preserve"> </w:t>
      </w:r>
      <w:r w:rsidR="00775282" w:rsidRPr="00B57B6A">
        <w:rPr>
          <w:rFonts w:ascii="Times New Roman" w:hAnsi="Times New Roman" w:cs="Times New Roman"/>
          <w:sz w:val="24"/>
          <w:szCs w:val="24"/>
        </w:rPr>
        <w:t>recognizes that a person cannot be subject to involuntary admission or involuntary treatment.</w:t>
      </w:r>
    </w:p>
    <w:p w14:paraId="0BF31769" w14:textId="1B2A1B41" w:rsidR="003E1D43" w:rsidRPr="00B57B6A" w:rsidRDefault="00775282"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A similar</w:t>
      </w:r>
      <w:r w:rsidR="002F410D" w:rsidRPr="00B57B6A">
        <w:rPr>
          <w:rFonts w:ascii="Times New Roman" w:hAnsi="Times New Roman" w:cs="Times New Roman"/>
          <w:sz w:val="24"/>
          <w:szCs w:val="24"/>
        </w:rPr>
        <w:t xml:space="preserve"> analysis could be applied to children in detention. </w:t>
      </w:r>
      <w:r w:rsidR="0071210F" w:rsidRPr="00B57B6A">
        <w:rPr>
          <w:rFonts w:ascii="Times New Roman" w:hAnsi="Times New Roman" w:cs="Times New Roman"/>
          <w:sz w:val="24"/>
          <w:szCs w:val="24"/>
        </w:rPr>
        <w:t>When an adult or legal authority determines that a child should be in an institution</w:t>
      </w:r>
      <w:r w:rsidR="002F410D" w:rsidRPr="00B57B6A">
        <w:rPr>
          <w:rFonts w:ascii="Times New Roman" w:hAnsi="Times New Roman" w:cs="Times New Roman"/>
          <w:sz w:val="24"/>
          <w:szCs w:val="24"/>
        </w:rPr>
        <w:t xml:space="preserve">, they may make that decision in what they perceive to be </w:t>
      </w:r>
      <w:r w:rsidR="00F8003A" w:rsidRPr="00B57B6A">
        <w:rPr>
          <w:rFonts w:ascii="Times New Roman" w:hAnsi="Times New Roman" w:cs="Times New Roman"/>
          <w:sz w:val="24"/>
          <w:szCs w:val="24"/>
        </w:rPr>
        <w:t xml:space="preserve">in </w:t>
      </w:r>
      <w:r w:rsidR="002F410D" w:rsidRPr="00B57B6A">
        <w:rPr>
          <w:rFonts w:ascii="Times New Roman" w:hAnsi="Times New Roman" w:cs="Times New Roman"/>
          <w:sz w:val="24"/>
          <w:szCs w:val="24"/>
        </w:rPr>
        <w:t>the child’s best interest. But if that choice is likely to lead to severe pain and suffering, the</w:t>
      </w:r>
      <w:r w:rsidR="002B7B6A">
        <w:rPr>
          <w:rFonts w:ascii="Times New Roman" w:hAnsi="Times New Roman" w:cs="Times New Roman"/>
          <w:sz w:val="24"/>
          <w:szCs w:val="24"/>
        </w:rPr>
        <w:t xml:space="preserve"> absolute</w:t>
      </w:r>
      <w:r w:rsidR="00547924">
        <w:rPr>
          <w:rFonts w:ascii="Times New Roman" w:hAnsi="Times New Roman" w:cs="Times New Roman"/>
          <w:sz w:val="24"/>
          <w:szCs w:val="24"/>
        </w:rPr>
        <w:t xml:space="preserve"> </w:t>
      </w:r>
      <w:r w:rsidR="002B7B6A">
        <w:rPr>
          <w:rFonts w:ascii="Times New Roman" w:hAnsi="Times New Roman" w:cs="Times New Roman"/>
          <w:sz w:val="24"/>
          <w:szCs w:val="24"/>
        </w:rPr>
        <w:t>legal obligation to prevent</w:t>
      </w:r>
      <w:r w:rsidR="002F410D" w:rsidRPr="00B57B6A">
        <w:rPr>
          <w:rFonts w:ascii="Times New Roman" w:hAnsi="Times New Roman" w:cs="Times New Roman"/>
          <w:sz w:val="24"/>
          <w:szCs w:val="24"/>
        </w:rPr>
        <w:t xml:space="preserve"> torture need not defer to this </w:t>
      </w:r>
      <w:r w:rsidR="00DD1206" w:rsidRPr="00B57B6A">
        <w:rPr>
          <w:rFonts w:ascii="Times New Roman" w:hAnsi="Times New Roman" w:cs="Times New Roman"/>
          <w:sz w:val="24"/>
          <w:szCs w:val="24"/>
        </w:rPr>
        <w:t>judgment</w:t>
      </w:r>
      <w:r w:rsidR="002F410D" w:rsidRPr="00B57B6A">
        <w:rPr>
          <w:rFonts w:ascii="Times New Roman" w:hAnsi="Times New Roman" w:cs="Times New Roman"/>
          <w:sz w:val="24"/>
          <w:szCs w:val="24"/>
        </w:rPr>
        <w:t>.</w:t>
      </w:r>
      <w:r w:rsidR="007C18E9" w:rsidRPr="00B57B6A">
        <w:rPr>
          <w:rFonts w:ascii="Times New Roman" w:hAnsi="Times New Roman" w:cs="Times New Roman"/>
          <w:sz w:val="24"/>
          <w:szCs w:val="24"/>
        </w:rPr>
        <w:t xml:space="preserve">  As stated by the European Office of the UN High Commissioner on Human Rights, “[a]n adult’s judgment of a child’s best interest cannot override the obligation to respect all the child’s rights under the Convention.”</w:t>
      </w:r>
      <w:r w:rsidR="003E1D43" w:rsidRPr="00B57B6A">
        <w:rPr>
          <w:rStyle w:val="FootnoteReference"/>
          <w:rFonts w:ascii="Times New Roman" w:hAnsi="Times New Roman" w:cs="Times New Roman"/>
          <w:sz w:val="24"/>
          <w:szCs w:val="24"/>
        </w:rPr>
        <w:footnoteReference w:id="142"/>
      </w:r>
      <w:r w:rsidR="003E1D43" w:rsidRPr="00B57B6A">
        <w:rPr>
          <w:rFonts w:ascii="Times New Roman" w:hAnsi="Times New Roman" w:cs="Times New Roman"/>
          <w:sz w:val="24"/>
          <w:szCs w:val="24"/>
        </w:rPr>
        <w:t xml:space="preserve"> </w:t>
      </w:r>
    </w:p>
    <w:p w14:paraId="4AC8AC72" w14:textId="77FBE0CB" w:rsidR="00BE70AA" w:rsidRPr="00B57B6A" w:rsidRDefault="00B31508"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It would be inconsistent for adults involuntarily admitted to institutions to have even greater protections than children</w:t>
      </w:r>
      <w:r w:rsidR="002F410D" w:rsidRPr="00B57B6A">
        <w:rPr>
          <w:rFonts w:ascii="Times New Roman" w:hAnsi="Times New Roman" w:cs="Times New Roman"/>
          <w:sz w:val="24"/>
          <w:szCs w:val="24"/>
        </w:rPr>
        <w:t>.</w:t>
      </w:r>
      <w:r w:rsidR="003E1D43" w:rsidRPr="00B57B6A">
        <w:rPr>
          <w:rFonts w:ascii="Times New Roman" w:hAnsi="Times New Roman" w:cs="Times New Roman"/>
          <w:sz w:val="24"/>
          <w:szCs w:val="24"/>
        </w:rPr>
        <w:t xml:space="preserve">  Indeed, the Méndez Report calls for “higher standards” for children and “broader protections” against ill-treatment torture.</w:t>
      </w:r>
      <w:r w:rsidR="003E1D43" w:rsidRPr="00B57B6A">
        <w:rPr>
          <w:rStyle w:val="FootnoteReference"/>
          <w:rFonts w:ascii="Times New Roman" w:hAnsi="Times New Roman" w:cs="Times New Roman"/>
          <w:sz w:val="24"/>
          <w:szCs w:val="24"/>
        </w:rPr>
        <w:footnoteReference w:id="143"/>
      </w:r>
      <w:r w:rsidR="002F410D" w:rsidRPr="00B57B6A">
        <w:rPr>
          <w:rFonts w:ascii="Times New Roman" w:hAnsi="Times New Roman" w:cs="Times New Roman"/>
          <w:sz w:val="24"/>
          <w:szCs w:val="24"/>
        </w:rPr>
        <w:t xml:space="preserve"> The evidence about the dangers of institutionalization shows that children are even more vulnerable than adults to the dangers of institutionalization. The core finding of </w:t>
      </w:r>
      <w:r w:rsidR="0021189C" w:rsidRPr="00B57B6A">
        <w:rPr>
          <w:rFonts w:ascii="Times New Roman" w:hAnsi="Times New Roman" w:cs="Times New Roman"/>
          <w:sz w:val="24"/>
          <w:szCs w:val="24"/>
        </w:rPr>
        <w:t>Méndez</w:t>
      </w:r>
      <w:r w:rsidR="002F410D" w:rsidRPr="00B57B6A">
        <w:rPr>
          <w:rFonts w:ascii="Times New Roman" w:hAnsi="Times New Roman" w:cs="Times New Roman"/>
          <w:sz w:val="24"/>
          <w:szCs w:val="24"/>
        </w:rPr>
        <w:t>’</w:t>
      </w:r>
      <w:r w:rsidR="000C4213" w:rsidRPr="00B57B6A">
        <w:rPr>
          <w:rFonts w:ascii="Times New Roman" w:hAnsi="Times New Roman" w:cs="Times New Roman"/>
          <w:sz w:val="24"/>
          <w:szCs w:val="24"/>
        </w:rPr>
        <w:t>s</w:t>
      </w:r>
      <w:r w:rsidR="002F410D" w:rsidRPr="00B57B6A">
        <w:rPr>
          <w:rFonts w:ascii="Times New Roman" w:hAnsi="Times New Roman" w:cs="Times New Roman"/>
          <w:sz w:val="24"/>
          <w:szCs w:val="24"/>
        </w:rPr>
        <w:t xml:space="preserve"> Report on Children in Detention is that children are at greater risk </w:t>
      </w:r>
      <w:r w:rsidR="00547924">
        <w:rPr>
          <w:rFonts w:ascii="Times New Roman" w:hAnsi="Times New Roman" w:cs="Times New Roman"/>
          <w:sz w:val="24"/>
          <w:szCs w:val="24"/>
        </w:rPr>
        <w:t xml:space="preserve">of being subjected to torture and ill-treatment </w:t>
      </w:r>
      <w:r w:rsidR="002F410D" w:rsidRPr="00B57B6A">
        <w:rPr>
          <w:rFonts w:ascii="Times New Roman" w:hAnsi="Times New Roman" w:cs="Times New Roman"/>
          <w:sz w:val="24"/>
          <w:szCs w:val="24"/>
        </w:rPr>
        <w:t>and require higher levels of protection</w:t>
      </w:r>
      <w:r w:rsidR="00547924">
        <w:rPr>
          <w:rFonts w:ascii="Times New Roman" w:hAnsi="Times New Roman" w:cs="Times New Roman"/>
          <w:sz w:val="24"/>
          <w:szCs w:val="24"/>
        </w:rPr>
        <w:t xml:space="preserve"> than adults</w:t>
      </w:r>
      <w:r w:rsidR="002F410D" w:rsidRPr="00B57B6A">
        <w:rPr>
          <w:rFonts w:ascii="Times New Roman" w:hAnsi="Times New Roman" w:cs="Times New Roman"/>
          <w:sz w:val="24"/>
          <w:szCs w:val="24"/>
        </w:rPr>
        <w:t>.</w:t>
      </w:r>
    </w:p>
    <w:p w14:paraId="08F8F7BA" w14:textId="4D807D99" w:rsidR="003E1D43" w:rsidRPr="00B57B6A" w:rsidRDefault="00CA3D1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Méndez Report unfortunately misses the opportunity to call for a moratorium on new placements in institutions. But this would be the logical extension of the Special Rapporteur’s analysis in light of developments from the CRPD Committee. Explicit recognition of this position by a future Special Rapporteur would be helpful.</w:t>
      </w:r>
    </w:p>
    <w:p w14:paraId="6AA58F48" w14:textId="39643D8B" w:rsidR="003E1D43" w:rsidRPr="00B57B6A" w:rsidRDefault="00814346" w:rsidP="00B57B6A">
      <w:pPr>
        <w:pStyle w:val="Heading2"/>
        <w:numPr>
          <w:ilvl w:val="0"/>
          <w:numId w:val="27"/>
        </w:numPr>
        <w:spacing w:line="240" w:lineRule="auto"/>
        <w:rPr>
          <w:rFonts w:ascii="Times New Roman" w:hAnsi="Times New Roman" w:cs="Times New Roman"/>
          <w:sz w:val="24"/>
          <w:szCs w:val="24"/>
        </w:rPr>
      </w:pPr>
      <w:bookmarkStart w:id="58" w:name="_Toc471468477"/>
      <w:r w:rsidRPr="00B57B6A">
        <w:rPr>
          <w:rFonts w:ascii="Times New Roman" w:hAnsi="Times New Roman" w:cs="Times New Roman"/>
          <w:sz w:val="24"/>
          <w:szCs w:val="24"/>
        </w:rPr>
        <w:t xml:space="preserve">The </w:t>
      </w:r>
      <w:r w:rsidR="006E7F14" w:rsidRPr="00B57B6A">
        <w:rPr>
          <w:rFonts w:ascii="Times New Roman" w:hAnsi="Times New Roman" w:cs="Times New Roman"/>
          <w:sz w:val="24"/>
          <w:szCs w:val="24"/>
        </w:rPr>
        <w:t>Protection Against Torture in Detention</w:t>
      </w:r>
      <w:r w:rsidR="00DB0C8B" w:rsidRPr="00B57B6A">
        <w:rPr>
          <w:rFonts w:ascii="Times New Roman" w:hAnsi="Times New Roman" w:cs="Times New Roman"/>
          <w:sz w:val="24"/>
          <w:szCs w:val="24"/>
        </w:rPr>
        <w:t xml:space="preserve"> </w:t>
      </w:r>
      <w:r w:rsidR="00547924">
        <w:rPr>
          <w:rFonts w:ascii="Times New Roman" w:hAnsi="Times New Roman" w:cs="Times New Roman"/>
          <w:sz w:val="24"/>
          <w:szCs w:val="24"/>
        </w:rPr>
        <w:t>Standard</w:t>
      </w:r>
      <w:bookmarkEnd w:id="58"/>
    </w:p>
    <w:p w14:paraId="7AA26A84" w14:textId="07F03A83" w:rsidR="007E5F2A" w:rsidRPr="00B57B6A" w:rsidRDefault="007E5F2A" w:rsidP="00B57B6A">
      <w:pPr>
        <w:spacing w:line="240" w:lineRule="auto"/>
        <w:jc w:val="both"/>
        <w:rPr>
          <w:rFonts w:ascii="Times New Roman" w:hAnsi="Times New Roman" w:cs="Times New Roman"/>
          <w:b/>
          <w:sz w:val="24"/>
          <w:szCs w:val="24"/>
        </w:rPr>
      </w:pPr>
      <w:r w:rsidRPr="00B57B6A">
        <w:rPr>
          <w:rFonts w:ascii="Times New Roman" w:hAnsi="Times New Roman" w:cs="Times New Roman"/>
          <w:sz w:val="24"/>
          <w:szCs w:val="24"/>
        </w:rPr>
        <w:t xml:space="preserve">The standard for placement of children in the </w:t>
      </w:r>
      <w:r w:rsidR="0021189C" w:rsidRPr="00B57B6A">
        <w:rPr>
          <w:rFonts w:ascii="Times New Roman" w:hAnsi="Times New Roman" w:cs="Times New Roman"/>
          <w:sz w:val="24"/>
          <w:szCs w:val="24"/>
        </w:rPr>
        <w:t>Méndez</w:t>
      </w:r>
      <w:r w:rsidR="0021189C" w:rsidRPr="00B57B6A" w:rsidDel="0021189C">
        <w:rPr>
          <w:rFonts w:ascii="Times New Roman" w:hAnsi="Times New Roman" w:cs="Times New Roman"/>
          <w:sz w:val="24"/>
          <w:szCs w:val="24"/>
        </w:rPr>
        <w:t xml:space="preserve"> </w:t>
      </w:r>
      <w:r w:rsidRPr="00B57B6A">
        <w:rPr>
          <w:rFonts w:ascii="Times New Roman" w:hAnsi="Times New Roman" w:cs="Times New Roman"/>
          <w:sz w:val="24"/>
          <w:szCs w:val="24"/>
        </w:rPr>
        <w:t>Report on Children in Detention is spelled out fully as follows:</w:t>
      </w:r>
    </w:p>
    <w:p w14:paraId="20E6D1E0" w14:textId="33D0C6E6" w:rsidR="00BE70AA" w:rsidRPr="00B57B6A" w:rsidRDefault="007E5F2A" w:rsidP="00B57B6A">
      <w:pPr>
        <w:spacing w:after="0"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 xml:space="preserve">The deprivation of liberty of children is intended to be an </w:t>
      </w:r>
      <w:r w:rsidRPr="00B57B6A">
        <w:rPr>
          <w:rFonts w:ascii="Times New Roman" w:hAnsi="Times New Roman" w:cs="Times New Roman"/>
          <w:i/>
          <w:sz w:val="24"/>
          <w:szCs w:val="24"/>
        </w:rPr>
        <w:t xml:space="preserve">ultima ratio </w:t>
      </w:r>
      <w:r w:rsidRPr="00B57B6A">
        <w:rPr>
          <w:rFonts w:ascii="Times New Roman" w:hAnsi="Times New Roman" w:cs="Times New Roman"/>
          <w:sz w:val="24"/>
          <w:szCs w:val="24"/>
        </w:rPr>
        <w:t>[</w:t>
      </w:r>
      <w:r w:rsidR="00DD1206" w:rsidRPr="00B57B6A">
        <w:rPr>
          <w:rFonts w:ascii="Times New Roman" w:hAnsi="Times New Roman" w:cs="Times New Roman"/>
          <w:sz w:val="24"/>
          <w:szCs w:val="24"/>
        </w:rPr>
        <w:t>Latin</w:t>
      </w:r>
      <w:r w:rsidRPr="00B57B6A">
        <w:rPr>
          <w:rFonts w:ascii="Times New Roman" w:hAnsi="Times New Roman" w:cs="Times New Roman"/>
          <w:sz w:val="24"/>
          <w:szCs w:val="24"/>
        </w:rPr>
        <w:t xml:space="preserve"> for “last resort”] measure, to be used only for the shortest possible period of time</w:t>
      </w:r>
      <w:r w:rsidR="000641FF">
        <w:rPr>
          <w:rFonts w:ascii="Times New Roman" w:hAnsi="Times New Roman" w:cs="Times New Roman"/>
          <w:sz w:val="24"/>
          <w:szCs w:val="24"/>
        </w:rPr>
        <w:t>,</w:t>
      </w:r>
      <w:r w:rsidRPr="00B57B6A">
        <w:rPr>
          <w:rFonts w:ascii="Times New Roman" w:hAnsi="Times New Roman" w:cs="Times New Roman"/>
          <w:sz w:val="24"/>
          <w:szCs w:val="24"/>
        </w:rPr>
        <w:t xml:space="preserve"> only if it is in the best interest</w:t>
      </w:r>
      <w:r w:rsidR="000641FF">
        <w:rPr>
          <w:rFonts w:ascii="Times New Roman" w:hAnsi="Times New Roman" w:cs="Times New Roman"/>
          <w:sz w:val="24"/>
          <w:szCs w:val="24"/>
        </w:rPr>
        <w:t>s</w:t>
      </w:r>
      <w:r w:rsidRPr="00B57B6A">
        <w:rPr>
          <w:rFonts w:ascii="Times New Roman" w:hAnsi="Times New Roman" w:cs="Times New Roman"/>
          <w:sz w:val="24"/>
          <w:szCs w:val="24"/>
        </w:rPr>
        <w:t xml:space="preserve"> of the child, and limited to exceptional cases.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Failure to recognize or apply the safeguards increases the risk of children being subject</w:t>
      </w:r>
      <w:r w:rsidR="000641FF">
        <w:rPr>
          <w:rFonts w:ascii="Times New Roman" w:hAnsi="Times New Roman" w:cs="Times New Roman"/>
          <w:sz w:val="24"/>
          <w:szCs w:val="24"/>
        </w:rPr>
        <w:t>ed</w:t>
      </w:r>
      <w:r w:rsidRPr="00B57B6A">
        <w:rPr>
          <w:rFonts w:ascii="Times New Roman" w:hAnsi="Times New Roman" w:cs="Times New Roman"/>
          <w:sz w:val="24"/>
          <w:szCs w:val="24"/>
        </w:rPr>
        <w:t xml:space="preserve"> to torture or other ill-treatment, and implicates State responsibility. Therefore, States should, to the greatest extent possible, and always using the least restrictive means necessary, adopt alternatives to detention that fulfill the best interest of the child</w:t>
      </w:r>
      <w:r w:rsidR="002541B5">
        <w:rPr>
          <w:rFonts w:ascii="Times New Roman" w:hAnsi="Times New Roman" w:cs="Times New Roman"/>
          <w:sz w:val="24"/>
          <w:szCs w:val="24"/>
        </w:rPr>
        <w:t>…</w:t>
      </w:r>
      <w:r w:rsidR="002541B5" w:rsidRPr="00B57B6A">
        <w:rPr>
          <w:rFonts w:ascii="Times New Roman" w:hAnsi="Times New Roman" w:cs="Times New Roman"/>
          <w:sz w:val="24"/>
          <w:szCs w:val="24"/>
          <w:vertAlign w:val="superscript"/>
        </w:rPr>
        <w:footnoteReference w:id="144"/>
      </w:r>
    </w:p>
    <w:p w14:paraId="520E4448" w14:textId="77777777" w:rsidR="00BE70AA" w:rsidRPr="00B57B6A" w:rsidRDefault="00BE70AA" w:rsidP="00B57B6A">
      <w:pPr>
        <w:spacing w:after="0" w:line="240" w:lineRule="auto"/>
        <w:ind w:left="720" w:right="720"/>
        <w:jc w:val="both"/>
        <w:rPr>
          <w:rFonts w:ascii="Times New Roman" w:hAnsi="Times New Roman" w:cs="Times New Roman"/>
          <w:sz w:val="24"/>
          <w:szCs w:val="24"/>
        </w:rPr>
      </w:pPr>
    </w:p>
    <w:p w14:paraId="115788B3" w14:textId="5678A1FD" w:rsidR="007E5F2A" w:rsidRPr="00B57B6A" w:rsidRDefault="007E5F2A"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As set forth h</w:t>
      </w:r>
      <w:r w:rsidR="009A41DA" w:rsidRPr="00B57B6A">
        <w:rPr>
          <w:rFonts w:ascii="Times New Roman" w:hAnsi="Times New Roman" w:cs="Times New Roman"/>
          <w:sz w:val="24"/>
          <w:szCs w:val="24"/>
        </w:rPr>
        <w:t>ere,</w:t>
      </w:r>
      <w:r w:rsidR="00F8003A" w:rsidRPr="00B57B6A">
        <w:rPr>
          <w:rFonts w:ascii="Times New Roman" w:hAnsi="Times New Roman" w:cs="Times New Roman"/>
          <w:sz w:val="24"/>
          <w:szCs w:val="24"/>
        </w:rPr>
        <w:t xml:space="preserve"> </w:t>
      </w:r>
      <w:r w:rsidR="0048081E">
        <w:rPr>
          <w:rFonts w:ascii="Times New Roman" w:hAnsi="Times New Roman" w:cs="Times New Roman"/>
          <w:sz w:val="24"/>
          <w:szCs w:val="24"/>
        </w:rPr>
        <w:t xml:space="preserve">there are four elements to </w:t>
      </w:r>
      <w:r w:rsidR="00F8003A" w:rsidRPr="00B57B6A">
        <w:rPr>
          <w:rFonts w:ascii="Times New Roman" w:hAnsi="Times New Roman" w:cs="Times New Roman"/>
          <w:sz w:val="24"/>
          <w:szCs w:val="24"/>
        </w:rPr>
        <w:t xml:space="preserve">what </w:t>
      </w:r>
      <w:r w:rsidR="0048081E">
        <w:rPr>
          <w:rFonts w:ascii="Times New Roman" w:hAnsi="Times New Roman" w:cs="Times New Roman"/>
          <w:sz w:val="24"/>
          <w:szCs w:val="24"/>
        </w:rPr>
        <w:t>is</w:t>
      </w:r>
      <w:r w:rsidR="00F8003A" w:rsidRPr="00B57B6A">
        <w:rPr>
          <w:rFonts w:ascii="Times New Roman" w:hAnsi="Times New Roman" w:cs="Times New Roman"/>
          <w:sz w:val="24"/>
          <w:szCs w:val="24"/>
        </w:rPr>
        <w:t xml:space="preserve"> referred to in this article as</w:t>
      </w:r>
      <w:r w:rsidR="009A41DA" w:rsidRPr="00B57B6A">
        <w:rPr>
          <w:rFonts w:ascii="Times New Roman" w:hAnsi="Times New Roman" w:cs="Times New Roman"/>
          <w:sz w:val="24"/>
          <w:szCs w:val="24"/>
        </w:rPr>
        <w:t xml:space="preserve"> the </w:t>
      </w:r>
      <w:r w:rsidR="006E7F14" w:rsidRPr="00B57B6A">
        <w:rPr>
          <w:rFonts w:ascii="Times New Roman" w:hAnsi="Times New Roman" w:cs="Times New Roman"/>
          <w:sz w:val="24"/>
          <w:szCs w:val="24"/>
        </w:rPr>
        <w:t>Torture</w:t>
      </w:r>
      <w:r w:rsidR="0048081E">
        <w:rPr>
          <w:rFonts w:ascii="Times New Roman" w:hAnsi="Times New Roman" w:cs="Times New Roman"/>
          <w:sz w:val="24"/>
          <w:szCs w:val="24"/>
        </w:rPr>
        <w:t xml:space="preserve"> Standard for detention:</w:t>
      </w:r>
    </w:p>
    <w:p w14:paraId="0947DD75" w14:textId="4186DB25" w:rsidR="007E5F2A" w:rsidRPr="00B57B6A" w:rsidRDefault="007E5F2A" w:rsidP="00B57B6A">
      <w:pPr>
        <w:pStyle w:val="ListParagraph"/>
        <w:numPr>
          <w:ilvl w:val="0"/>
          <w:numId w:val="23"/>
        </w:num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last resort;</w:t>
      </w:r>
    </w:p>
    <w:p w14:paraId="1F298FBF" w14:textId="7950DA0F" w:rsidR="007E5F2A" w:rsidRPr="00B57B6A" w:rsidRDefault="007E5F2A" w:rsidP="00B57B6A">
      <w:pPr>
        <w:pStyle w:val="ListParagraph"/>
        <w:numPr>
          <w:ilvl w:val="0"/>
          <w:numId w:val="23"/>
        </w:num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best interest</w:t>
      </w:r>
      <w:r w:rsidR="0037307B">
        <w:rPr>
          <w:rFonts w:ascii="Times New Roman" w:hAnsi="Times New Roman" w:cs="Times New Roman"/>
          <w:sz w:val="24"/>
          <w:szCs w:val="24"/>
        </w:rPr>
        <w:t>s</w:t>
      </w:r>
      <w:r w:rsidRPr="00B57B6A">
        <w:rPr>
          <w:rFonts w:ascii="Times New Roman" w:hAnsi="Times New Roman" w:cs="Times New Roman"/>
          <w:sz w:val="24"/>
          <w:szCs w:val="24"/>
        </w:rPr>
        <w:t>;</w:t>
      </w:r>
    </w:p>
    <w:p w14:paraId="0A0B60A3" w14:textId="1374DE69" w:rsidR="007E5F2A" w:rsidRPr="00B57B6A" w:rsidRDefault="007E5F2A" w:rsidP="00B57B6A">
      <w:pPr>
        <w:pStyle w:val="ListParagraph"/>
        <w:numPr>
          <w:ilvl w:val="0"/>
          <w:numId w:val="23"/>
        </w:num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shortest time;</w:t>
      </w:r>
    </w:p>
    <w:p w14:paraId="00DFB3B9" w14:textId="2DFE5548" w:rsidR="007E5F2A" w:rsidRPr="00B57B6A" w:rsidRDefault="007E5F2A" w:rsidP="00B57B6A">
      <w:pPr>
        <w:pStyle w:val="ListParagraph"/>
        <w:numPr>
          <w:ilvl w:val="0"/>
          <w:numId w:val="23"/>
        </w:num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least restrictive means necessary.</w:t>
      </w:r>
    </w:p>
    <w:p w14:paraId="6DEE02E6" w14:textId="77777777" w:rsidR="00DB0C8B" w:rsidRPr="00B57B6A" w:rsidRDefault="00DB0C8B" w:rsidP="00B57B6A">
      <w:pPr>
        <w:pStyle w:val="ListParagraph"/>
        <w:spacing w:after="0" w:line="240" w:lineRule="auto"/>
        <w:ind w:left="0"/>
        <w:jc w:val="both"/>
        <w:rPr>
          <w:rFonts w:ascii="Times New Roman" w:hAnsi="Times New Roman" w:cs="Times New Roman"/>
          <w:b/>
          <w:sz w:val="24"/>
          <w:szCs w:val="24"/>
        </w:rPr>
      </w:pPr>
    </w:p>
    <w:p w14:paraId="09A4EFD3" w14:textId="3BEEA82D" w:rsidR="007D00F2" w:rsidRPr="00B57B6A" w:rsidRDefault="00BE70AA" w:rsidP="00B57B6A">
      <w:pPr>
        <w:pStyle w:val="ListParagraph"/>
        <w:spacing w:after="0" w:line="240" w:lineRule="auto"/>
        <w:ind w:left="0"/>
        <w:jc w:val="both"/>
        <w:rPr>
          <w:rFonts w:ascii="Times New Roman" w:hAnsi="Times New Roman" w:cs="Times New Roman"/>
          <w:b/>
          <w:sz w:val="24"/>
          <w:szCs w:val="24"/>
        </w:rPr>
      </w:pPr>
      <w:r w:rsidRPr="00B57B6A">
        <w:rPr>
          <w:rFonts w:ascii="Times New Roman" w:hAnsi="Times New Roman" w:cs="Times New Roman"/>
          <w:sz w:val="24"/>
          <w:szCs w:val="24"/>
        </w:rPr>
        <w:t xml:space="preserve">When all four elements are taken together, the Torture </w:t>
      </w:r>
      <w:r w:rsidR="0048081E">
        <w:rPr>
          <w:rFonts w:ascii="Times New Roman" w:hAnsi="Times New Roman" w:cs="Times New Roman"/>
          <w:sz w:val="24"/>
          <w:szCs w:val="24"/>
        </w:rPr>
        <w:t>S</w:t>
      </w:r>
      <w:r w:rsidR="00502595">
        <w:rPr>
          <w:rFonts w:ascii="Times New Roman" w:hAnsi="Times New Roman" w:cs="Times New Roman"/>
          <w:sz w:val="24"/>
          <w:szCs w:val="24"/>
        </w:rPr>
        <w:t>tandard</w:t>
      </w:r>
      <w:r w:rsidRPr="00B57B6A">
        <w:rPr>
          <w:rFonts w:ascii="Times New Roman" w:hAnsi="Times New Roman" w:cs="Times New Roman"/>
          <w:sz w:val="24"/>
          <w:szCs w:val="24"/>
        </w:rPr>
        <w:t xml:space="preserve"> </w:t>
      </w:r>
      <w:r w:rsidR="009B12A2">
        <w:rPr>
          <w:rFonts w:ascii="Times New Roman" w:hAnsi="Times New Roman" w:cs="Times New Roman"/>
          <w:sz w:val="24"/>
          <w:szCs w:val="24"/>
        </w:rPr>
        <w:t>serves a</w:t>
      </w:r>
      <w:r w:rsidR="00502595">
        <w:rPr>
          <w:rFonts w:ascii="Times New Roman" w:hAnsi="Times New Roman" w:cs="Times New Roman"/>
          <w:sz w:val="24"/>
          <w:szCs w:val="24"/>
        </w:rPr>
        <w:t>s</w:t>
      </w:r>
      <w:r w:rsidR="009B12A2">
        <w:rPr>
          <w:rFonts w:ascii="Times New Roman" w:hAnsi="Times New Roman" w:cs="Times New Roman"/>
          <w:sz w:val="24"/>
          <w:szCs w:val="24"/>
        </w:rPr>
        <w:t xml:space="preserve"> </w:t>
      </w:r>
      <w:r w:rsidRPr="00B57B6A">
        <w:rPr>
          <w:rFonts w:ascii="Times New Roman" w:hAnsi="Times New Roman" w:cs="Times New Roman"/>
          <w:sz w:val="24"/>
          <w:szCs w:val="24"/>
        </w:rPr>
        <w:t>guiding principle</w:t>
      </w:r>
      <w:r w:rsidR="009B12A2">
        <w:rPr>
          <w:rFonts w:ascii="Times New Roman" w:hAnsi="Times New Roman" w:cs="Times New Roman"/>
          <w:sz w:val="24"/>
          <w:szCs w:val="24"/>
        </w:rPr>
        <w:t xml:space="preserve">s for </w:t>
      </w:r>
      <w:r w:rsidRPr="00B57B6A">
        <w:rPr>
          <w:rFonts w:ascii="Times New Roman" w:hAnsi="Times New Roman" w:cs="Times New Roman"/>
          <w:sz w:val="24"/>
          <w:szCs w:val="24"/>
        </w:rPr>
        <w:t>prevent</w:t>
      </w:r>
      <w:r w:rsidR="009B12A2">
        <w:rPr>
          <w:rFonts w:ascii="Times New Roman" w:hAnsi="Times New Roman" w:cs="Times New Roman"/>
          <w:sz w:val="24"/>
          <w:szCs w:val="24"/>
        </w:rPr>
        <w:t>ing torture or ill-treatment</w:t>
      </w:r>
      <w:r w:rsidRPr="00B57B6A">
        <w:rPr>
          <w:rFonts w:ascii="Times New Roman" w:hAnsi="Times New Roman" w:cs="Times New Roman"/>
          <w:sz w:val="24"/>
          <w:szCs w:val="24"/>
        </w:rPr>
        <w:t>.</w:t>
      </w:r>
      <w:r w:rsidR="00E34D30" w:rsidRPr="00B57B6A">
        <w:rPr>
          <w:rFonts w:ascii="Times New Roman" w:hAnsi="Times New Roman" w:cs="Times New Roman"/>
          <w:sz w:val="24"/>
          <w:szCs w:val="24"/>
        </w:rPr>
        <w:t xml:space="preserve"> The Torture </w:t>
      </w:r>
      <w:r w:rsidR="0048081E">
        <w:rPr>
          <w:rFonts w:ascii="Times New Roman" w:hAnsi="Times New Roman" w:cs="Times New Roman"/>
          <w:sz w:val="24"/>
          <w:szCs w:val="24"/>
        </w:rPr>
        <w:t>S</w:t>
      </w:r>
      <w:r w:rsidR="00502595">
        <w:rPr>
          <w:rFonts w:ascii="Times New Roman" w:hAnsi="Times New Roman" w:cs="Times New Roman"/>
          <w:sz w:val="24"/>
          <w:szCs w:val="24"/>
        </w:rPr>
        <w:t>tandard</w:t>
      </w:r>
      <w:r w:rsidR="00E34D30" w:rsidRPr="00B57B6A">
        <w:rPr>
          <w:rFonts w:ascii="Times New Roman" w:hAnsi="Times New Roman" w:cs="Times New Roman"/>
          <w:sz w:val="24"/>
          <w:szCs w:val="24"/>
        </w:rPr>
        <w:t>, as set for</w:t>
      </w:r>
      <w:r w:rsidR="00EB136D">
        <w:rPr>
          <w:rFonts w:ascii="Times New Roman" w:hAnsi="Times New Roman" w:cs="Times New Roman"/>
          <w:sz w:val="24"/>
          <w:szCs w:val="24"/>
        </w:rPr>
        <w:t>th</w:t>
      </w:r>
      <w:r w:rsidR="00E34D30" w:rsidRPr="00B57B6A">
        <w:rPr>
          <w:rFonts w:ascii="Times New Roman" w:hAnsi="Times New Roman" w:cs="Times New Roman"/>
          <w:sz w:val="24"/>
          <w:szCs w:val="24"/>
        </w:rPr>
        <w:t xml:space="preserve"> in the Méndez Report, makes clear that placement in an institution, intended to be long-term, is never an acceptable outcome. </w:t>
      </w:r>
    </w:p>
    <w:p w14:paraId="17911A57" w14:textId="77777777" w:rsidR="007D00F2" w:rsidRPr="00B57B6A" w:rsidRDefault="007D00F2" w:rsidP="00B57B6A">
      <w:pPr>
        <w:pStyle w:val="ListParagraph"/>
        <w:spacing w:after="0" w:line="240" w:lineRule="auto"/>
        <w:ind w:left="1080"/>
        <w:jc w:val="both"/>
        <w:rPr>
          <w:rFonts w:ascii="Times New Roman" w:hAnsi="Times New Roman" w:cs="Times New Roman"/>
          <w:b/>
          <w:sz w:val="24"/>
          <w:szCs w:val="24"/>
        </w:rPr>
      </w:pPr>
    </w:p>
    <w:p w14:paraId="27BEBC17" w14:textId="1CE28C8D" w:rsidR="00E34D30" w:rsidRPr="00B57B6A" w:rsidRDefault="00BE70AA"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t>The CRC Committee’s General Comment #13 states that the best interest of the child</w:t>
      </w:r>
      <w:r w:rsidR="00063276" w:rsidRPr="00B57B6A">
        <w:rPr>
          <w:rFonts w:ascii="Times New Roman" w:hAnsi="Times New Roman" w:cs="Times New Roman"/>
          <w:sz w:val="24"/>
          <w:szCs w:val="24"/>
        </w:rPr>
        <w:t xml:space="preserve">, by itself, should not </w:t>
      </w:r>
      <w:r w:rsidRPr="00B57B6A">
        <w:rPr>
          <w:rFonts w:ascii="Times New Roman" w:hAnsi="Times New Roman" w:cs="Times New Roman"/>
          <w:sz w:val="24"/>
          <w:szCs w:val="24"/>
        </w:rPr>
        <w:t>be used to justify subjecting a child to violence.</w:t>
      </w:r>
      <w:r w:rsidRPr="00B57B6A">
        <w:rPr>
          <w:rStyle w:val="FootnoteReference"/>
          <w:rFonts w:ascii="Times New Roman" w:hAnsi="Times New Roman" w:cs="Times New Roman"/>
          <w:sz w:val="24"/>
          <w:szCs w:val="24"/>
        </w:rPr>
        <w:footnoteReference w:id="145"/>
      </w:r>
      <w:r w:rsidRPr="00B57B6A">
        <w:rPr>
          <w:rFonts w:ascii="Times New Roman" w:hAnsi="Times New Roman" w:cs="Times New Roman"/>
          <w:sz w:val="24"/>
          <w:szCs w:val="24"/>
        </w:rPr>
        <w:t xml:space="preserve"> Using the same rationale, </w:t>
      </w:r>
      <w:r w:rsidR="00063276" w:rsidRPr="00B57B6A">
        <w:rPr>
          <w:rFonts w:ascii="Times New Roman" w:hAnsi="Times New Roman" w:cs="Times New Roman"/>
          <w:sz w:val="24"/>
          <w:szCs w:val="24"/>
        </w:rPr>
        <w:t>a</w:t>
      </w:r>
      <w:r w:rsidRPr="00B57B6A">
        <w:rPr>
          <w:rFonts w:ascii="Times New Roman" w:hAnsi="Times New Roman" w:cs="Times New Roman"/>
          <w:sz w:val="24"/>
          <w:szCs w:val="24"/>
        </w:rPr>
        <w:t xml:space="preserve"> best interest analysis</w:t>
      </w:r>
      <w:r w:rsidR="00063276" w:rsidRPr="00B57B6A">
        <w:rPr>
          <w:rFonts w:ascii="Times New Roman" w:hAnsi="Times New Roman" w:cs="Times New Roman"/>
          <w:sz w:val="24"/>
          <w:szCs w:val="24"/>
        </w:rPr>
        <w:t>, by itself,</w:t>
      </w:r>
      <w:r w:rsidRPr="00B57B6A">
        <w:rPr>
          <w:rFonts w:ascii="Times New Roman" w:hAnsi="Times New Roman" w:cs="Times New Roman"/>
          <w:sz w:val="24"/>
          <w:szCs w:val="24"/>
        </w:rPr>
        <w:t xml:space="preserve"> should never be used to subject a child to the dangers </w:t>
      </w:r>
      <w:r w:rsidR="00063276" w:rsidRPr="00B57B6A">
        <w:rPr>
          <w:rFonts w:ascii="Times New Roman" w:hAnsi="Times New Roman" w:cs="Times New Roman"/>
          <w:sz w:val="24"/>
          <w:szCs w:val="24"/>
        </w:rPr>
        <w:t xml:space="preserve">and suffering </w:t>
      </w:r>
      <w:r w:rsidRPr="00B57B6A">
        <w:rPr>
          <w:rFonts w:ascii="Times New Roman" w:hAnsi="Times New Roman" w:cs="Times New Roman"/>
          <w:sz w:val="24"/>
          <w:szCs w:val="24"/>
        </w:rPr>
        <w:t xml:space="preserve">of institutional </w:t>
      </w:r>
      <w:r w:rsidR="00063276" w:rsidRPr="00B57B6A">
        <w:rPr>
          <w:rFonts w:ascii="Times New Roman" w:hAnsi="Times New Roman" w:cs="Times New Roman"/>
          <w:sz w:val="24"/>
          <w:szCs w:val="24"/>
        </w:rPr>
        <w:t>placement. Given everything that is known about the negative impact of</w:t>
      </w:r>
      <w:r w:rsidRPr="00B57B6A">
        <w:rPr>
          <w:rFonts w:ascii="Times New Roman" w:hAnsi="Times New Roman" w:cs="Times New Roman"/>
          <w:sz w:val="24"/>
          <w:szCs w:val="24"/>
        </w:rPr>
        <w:t xml:space="preserve"> institutionalization</w:t>
      </w:r>
      <w:r w:rsidR="00063276" w:rsidRPr="00B57B6A">
        <w:rPr>
          <w:rFonts w:ascii="Times New Roman" w:hAnsi="Times New Roman" w:cs="Times New Roman"/>
          <w:sz w:val="24"/>
          <w:szCs w:val="24"/>
        </w:rPr>
        <w:t xml:space="preserve"> on </w:t>
      </w:r>
      <w:r w:rsidR="00F8003A" w:rsidRPr="00B57B6A">
        <w:rPr>
          <w:rFonts w:ascii="Times New Roman" w:hAnsi="Times New Roman" w:cs="Times New Roman"/>
          <w:sz w:val="24"/>
          <w:szCs w:val="24"/>
        </w:rPr>
        <w:t xml:space="preserve">a </w:t>
      </w:r>
      <w:r w:rsidR="00063276" w:rsidRPr="00B57B6A">
        <w:rPr>
          <w:rFonts w:ascii="Times New Roman" w:hAnsi="Times New Roman" w:cs="Times New Roman"/>
          <w:sz w:val="24"/>
          <w:szCs w:val="24"/>
        </w:rPr>
        <w:t>child</w:t>
      </w:r>
      <w:r w:rsidRPr="00B57B6A">
        <w:rPr>
          <w:rFonts w:ascii="Times New Roman" w:hAnsi="Times New Roman" w:cs="Times New Roman"/>
          <w:sz w:val="24"/>
          <w:szCs w:val="24"/>
        </w:rPr>
        <w:t>, it is a fundamental contradiction in terms to call such placement in the “best intere</w:t>
      </w:r>
      <w:r w:rsidR="00063276" w:rsidRPr="00B57B6A">
        <w:rPr>
          <w:rFonts w:ascii="Times New Roman" w:hAnsi="Times New Roman" w:cs="Times New Roman"/>
          <w:sz w:val="24"/>
          <w:szCs w:val="24"/>
        </w:rPr>
        <w:t>st” of the child. No child should</w:t>
      </w:r>
      <w:r w:rsidRPr="00B57B6A">
        <w:rPr>
          <w:rFonts w:ascii="Times New Roman" w:hAnsi="Times New Roman" w:cs="Times New Roman"/>
          <w:sz w:val="24"/>
          <w:szCs w:val="24"/>
        </w:rPr>
        <w:t xml:space="preserve"> ever be placed in an institution for the long-term</w:t>
      </w:r>
      <w:r w:rsidR="000B5DFF" w:rsidRPr="00B57B6A">
        <w:rPr>
          <w:rFonts w:ascii="Times New Roman" w:hAnsi="Times New Roman" w:cs="Times New Roman"/>
          <w:sz w:val="24"/>
          <w:szCs w:val="24"/>
        </w:rPr>
        <w:t xml:space="preserve"> for his or her best interest without other limiting factors</w:t>
      </w:r>
      <w:r w:rsidR="00063276" w:rsidRPr="00B57B6A">
        <w:rPr>
          <w:rFonts w:ascii="Times New Roman" w:hAnsi="Times New Roman" w:cs="Times New Roman"/>
          <w:sz w:val="24"/>
          <w:szCs w:val="24"/>
        </w:rPr>
        <w:t>.</w:t>
      </w:r>
      <w:r w:rsidR="000B5DFF" w:rsidRPr="00B57B6A">
        <w:rPr>
          <w:rFonts w:ascii="Times New Roman" w:hAnsi="Times New Roman" w:cs="Times New Roman"/>
          <w:sz w:val="24"/>
          <w:szCs w:val="24"/>
        </w:rPr>
        <w:t xml:space="preserve"> </w:t>
      </w:r>
    </w:p>
    <w:p w14:paraId="1FF5FFF7" w14:textId="77777777" w:rsidR="00E34D30" w:rsidRPr="00B57B6A" w:rsidRDefault="00E34D30" w:rsidP="00B57B6A">
      <w:pPr>
        <w:pStyle w:val="ListParagraph"/>
        <w:spacing w:after="0" w:line="240" w:lineRule="auto"/>
        <w:ind w:left="0"/>
        <w:jc w:val="both"/>
        <w:rPr>
          <w:rFonts w:ascii="Times New Roman" w:hAnsi="Times New Roman" w:cs="Times New Roman"/>
          <w:sz w:val="24"/>
          <w:szCs w:val="24"/>
        </w:rPr>
      </w:pPr>
    </w:p>
    <w:p w14:paraId="2E9A13CF" w14:textId="54830C6E" w:rsidR="00063276" w:rsidRPr="00B57B6A" w:rsidRDefault="000B5DFF"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t>When a child is placed in a</w:t>
      </w:r>
      <w:r w:rsidR="00F8003A" w:rsidRPr="00B57B6A">
        <w:rPr>
          <w:rFonts w:ascii="Times New Roman" w:hAnsi="Times New Roman" w:cs="Times New Roman"/>
          <w:sz w:val="24"/>
          <w:szCs w:val="24"/>
        </w:rPr>
        <w:t>n institution</w:t>
      </w:r>
      <w:r w:rsidRPr="00B57B6A">
        <w:rPr>
          <w:rFonts w:ascii="Times New Roman" w:hAnsi="Times New Roman" w:cs="Times New Roman"/>
          <w:sz w:val="24"/>
          <w:szCs w:val="24"/>
        </w:rPr>
        <w:t xml:space="preserve"> as a last resort, it is because of the failure of the social service system to provide a more acceptable placement that will nurture the child and avoid needless pain and suffering. </w:t>
      </w:r>
      <w:r w:rsidR="0059062E" w:rsidRPr="00B57B6A">
        <w:rPr>
          <w:rFonts w:ascii="Times New Roman" w:hAnsi="Times New Roman" w:cs="Times New Roman"/>
          <w:sz w:val="24"/>
          <w:szCs w:val="24"/>
        </w:rPr>
        <w:t>There will always be emergency situations where any form of placement could be in the best interest of the child for a very short period of time</w:t>
      </w:r>
      <w:r w:rsidR="00063276" w:rsidRPr="00B57B6A">
        <w:rPr>
          <w:rFonts w:ascii="Times New Roman" w:hAnsi="Times New Roman" w:cs="Times New Roman"/>
          <w:sz w:val="24"/>
          <w:szCs w:val="24"/>
        </w:rPr>
        <w:t xml:space="preserve"> – be it administrative bungling or a broader f</w:t>
      </w:r>
      <w:r w:rsidR="00E34D30" w:rsidRPr="00B57B6A">
        <w:rPr>
          <w:rFonts w:ascii="Times New Roman" w:hAnsi="Times New Roman" w:cs="Times New Roman"/>
          <w:sz w:val="24"/>
          <w:szCs w:val="24"/>
        </w:rPr>
        <w:t>ailure of a social service system that lacks emergency family placement. When placement of the last resort takes place in this situation, it must be brought to an end as soon as possible. G</w:t>
      </w:r>
      <w:r w:rsidR="0059062E" w:rsidRPr="00B57B6A">
        <w:rPr>
          <w:rFonts w:ascii="Times New Roman" w:hAnsi="Times New Roman" w:cs="Times New Roman"/>
          <w:sz w:val="24"/>
          <w:szCs w:val="24"/>
        </w:rPr>
        <w:t xml:space="preserve">iven the emotional trauma of separation from a family </w:t>
      </w:r>
      <w:r w:rsidR="0059062E" w:rsidRPr="00B57B6A">
        <w:rPr>
          <w:rFonts w:ascii="Times New Roman" w:hAnsi="Times New Roman" w:cs="Times New Roman"/>
          <w:sz w:val="24"/>
          <w:szCs w:val="24"/>
        </w:rPr>
        <w:lastRenderedPageBreak/>
        <w:t xml:space="preserve">and the dangers of placement, as Dr. Dana Johnson has </w:t>
      </w:r>
      <w:r w:rsidR="00DD1206" w:rsidRPr="00B57B6A">
        <w:rPr>
          <w:rFonts w:ascii="Times New Roman" w:hAnsi="Times New Roman" w:cs="Times New Roman"/>
          <w:sz w:val="24"/>
          <w:szCs w:val="24"/>
        </w:rPr>
        <w:t>observed,</w:t>
      </w:r>
      <w:r w:rsidR="0059062E" w:rsidRPr="00B57B6A">
        <w:rPr>
          <w:rFonts w:ascii="Times New Roman" w:hAnsi="Times New Roman" w:cs="Times New Roman"/>
          <w:sz w:val="24"/>
          <w:szCs w:val="24"/>
        </w:rPr>
        <w:t xml:space="preserve"> “a few days in an institution should be as long as children are asked to endure.”</w:t>
      </w:r>
      <w:r w:rsidR="0059062E" w:rsidRPr="00B57B6A">
        <w:rPr>
          <w:rStyle w:val="FootnoteReference"/>
          <w:rFonts w:ascii="Times New Roman" w:hAnsi="Times New Roman" w:cs="Times New Roman"/>
          <w:sz w:val="24"/>
          <w:szCs w:val="24"/>
        </w:rPr>
        <w:footnoteReference w:id="146"/>
      </w:r>
    </w:p>
    <w:p w14:paraId="70E40B55" w14:textId="67F6B51A" w:rsidR="00DB0C8B" w:rsidRPr="00B57B6A" w:rsidRDefault="000B5DFF"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t xml:space="preserve"> </w:t>
      </w:r>
    </w:p>
    <w:p w14:paraId="1D6F7164" w14:textId="47A03AE3" w:rsidR="00E34D30" w:rsidRPr="00B57B6A" w:rsidRDefault="00063276"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t xml:space="preserve">The institution is </w:t>
      </w:r>
      <w:r w:rsidRPr="00B57B6A">
        <w:rPr>
          <w:rFonts w:ascii="Times New Roman" w:hAnsi="Times New Roman" w:cs="Times New Roman"/>
          <w:i/>
          <w:sz w:val="24"/>
          <w:szCs w:val="24"/>
        </w:rPr>
        <w:t>usually</w:t>
      </w:r>
      <w:r w:rsidR="00861C86" w:rsidRPr="00B57B6A">
        <w:rPr>
          <w:rFonts w:ascii="Times New Roman" w:hAnsi="Times New Roman" w:cs="Times New Roman"/>
          <w:sz w:val="24"/>
          <w:szCs w:val="24"/>
        </w:rPr>
        <w:t xml:space="preserve"> safer</w:t>
      </w:r>
      <w:r w:rsidR="009B12A2">
        <w:rPr>
          <w:rFonts w:ascii="Times New Roman" w:hAnsi="Times New Roman" w:cs="Times New Roman"/>
          <w:sz w:val="24"/>
          <w:szCs w:val="24"/>
        </w:rPr>
        <w:t xml:space="preserve"> than the street though not always – </w:t>
      </w:r>
      <w:r w:rsidR="00F8003A" w:rsidRPr="00B57B6A">
        <w:rPr>
          <w:rFonts w:ascii="Times New Roman" w:hAnsi="Times New Roman" w:cs="Times New Roman"/>
          <w:sz w:val="24"/>
          <w:szCs w:val="24"/>
        </w:rPr>
        <w:t xml:space="preserve">given findings of exploitation and abuse in </w:t>
      </w:r>
      <w:r w:rsidR="006264AE">
        <w:rPr>
          <w:rFonts w:ascii="Times New Roman" w:hAnsi="Times New Roman" w:cs="Times New Roman"/>
          <w:sz w:val="24"/>
          <w:szCs w:val="24"/>
        </w:rPr>
        <w:t xml:space="preserve">many </w:t>
      </w:r>
      <w:r w:rsidR="00F8003A" w:rsidRPr="00B57B6A">
        <w:rPr>
          <w:rFonts w:ascii="Times New Roman" w:hAnsi="Times New Roman" w:cs="Times New Roman"/>
          <w:sz w:val="24"/>
          <w:szCs w:val="24"/>
        </w:rPr>
        <w:t>institutions</w:t>
      </w:r>
      <w:r w:rsidRPr="00B57B6A">
        <w:rPr>
          <w:rFonts w:ascii="Times New Roman" w:hAnsi="Times New Roman" w:cs="Times New Roman"/>
          <w:sz w:val="24"/>
          <w:szCs w:val="24"/>
        </w:rPr>
        <w:t>.</w:t>
      </w:r>
      <w:r w:rsidR="00861C86" w:rsidRPr="00B57B6A">
        <w:rPr>
          <w:rFonts w:ascii="Times New Roman" w:hAnsi="Times New Roman" w:cs="Times New Roman"/>
          <w:sz w:val="24"/>
          <w:szCs w:val="24"/>
        </w:rPr>
        <w:t xml:space="preserve"> But that should never be the choice facing children. </w:t>
      </w:r>
      <w:r w:rsidRPr="00B57B6A">
        <w:rPr>
          <w:rFonts w:ascii="Times New Roman" w:hAnsi="Times New Roman" w:cs="Times New Roman"/>
          <w:sz w:val="24"/>
          <w:szCs w:val="24"/>
        </w:rPr>
        <w:t>By placing demands on social service systems to create alternatives, human rights law forces them to avoid presenting a child with these options. Emergency foster care or extended family placement systems must be established to ensure that children are not even temporarily placed in institutions. When those systems do not exist or are inadequate, governments are subjecting children to unnecessary dangers and the risk of ill-treatment or torture.</w:t>
      </w:r>
    </w:p>
    <w:p w14:paraId="4017F170" w14:textId="77777777" w:rsidR="00063276" w:rsidRPr="00B57B6A" w:rsidRDefault="00063276" w:rsidP="00B57B6A">
      <w:pPr>
        <w:pStyle w:val="ListParagraph"/>
        <w:spacing w:after="0" w:line="240" w:lineRule="auto"/>
        <w:ind w:left="0"/>
        <w:jc w:val="both"/>
        <w:rPr>
          <w:rFonts w:ascii="Times New Roman" w:hAnsi="Times New Roman" w:cs="Times New Roman"/>
          <w:sz w:val="24"/>
          <w:szCs w:val="24"/>
        </w:rPr>
      </w:pPr>
    </w:p>
    <w:p w14:paraId="2A99835E" w14:textId="68FFE9EF" w:rsidR="0012559D" w:rsidRPr="00B57B6A" w:rsidRDefault="00E34D30"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t xml:space="preserve">To implement the </w:t>
      </w:r>
      <w:r w:rsidR="0048081E">
        <w:rPr>
          <w:rFonts w:ascii="Times New Roman" w:hAnsi="Times New Roman" w:cs="Times New Roman"/>
          <w:sz w:val="24"/>
          <w:szCs w:val="24"/>
        </w:rPr>
        <w:t>Torture S</w:t>
      </w:r>
      <w:r w:rsidR="00FF190F">
        <w:rPr>
          <w:rFonts w:ascii="Times New Roman" w:hAnsi="Times New Roman" w:cs="Times New Roman"/>
          <w:sz w:val="24"/>
          <w:szCs w:val="24"/>
        </w:rPr>
        <w:t>tandard</w:t>
      </w:r>
      <w:r w:rsidRPr="00B57B6A">
        <w:rPr>
          <w:rFonts w:ascii="Times New Roman" w:hAnsi="Times New Roman" w:cs="Times New Roman"/>
          <w:sz w:val="24"/>
          <w:szCs w:val="24"/>
        </w:rPr>
        <w:t>, social service systems should not set</w:t>
      </w:r>
      <w:r w:rsidR="000B5DFF" w:rsidRPr="00B57B6A">
        <w:rPr>
          <w:rFonts w:ascii="Times New Roman" w:hAnsi="Times New Roman" w:cs="Times New Roman"/>
          <w:sz w:val="24"/>
          <w:szCs w:val="24"/>
        </w:rPr>
        <w:t xml:space="preserve"> </w:t>
      </w:r>
      <w:r w:rsidR="00FF190F">
        <w:rPr>
          <w:rFonts w:ascii="Times New Roman" w:hAnsi="Times New Roman" w:cs="Times New Roman"/>
          <w:sz w:val="24"/>
          <w:szCs w:val="24"/>
        </w:rPr>
        <w:t>a</w:t>
      </w:r>
      <w:r w:rsidR="00D250F6"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high </w:t>
      </w:r>
      <w:r w:rsidR="00FF190F">
        <w:rPr>
          <w:rFonts w:ascii="Times New Roman" w:hAnsi="Times New Roman" w:cs="Times New Roman"/>
          <w:sz w:val="24"/>
          <w:szCs w:val="24"/>
        </w:rPr>
        <w:t xml:space="preserve">bar </w:t>
      </w:r>
      <w:r w:rsidRPr="00B57B6A">
        <w:rPr>
          <w:rFonts w:ascii="Times New Roman" w:hAnsi="Times New Roman" w:cs="Times New Roman"/>
          <w:sz w:val="24"/>
          <w:szCs w:val="24"/>
        </w:rPr>
        <w:t>for placing a child in a</w:t>
      </w:r>
      <w:r w:rsidR="00063276"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safe </w:t>
      </w:r>
      <w:r w:rsidR="000B5DFF" w:rsidRPr="00B57B6A">
        <w:rPr>
          <w:rFonts w:ascii="Times New Roman" w:hAnsi="Times New Roman" w:cs="Times New Roman"/>
          <w:sz w:val="24"/>
          <w:szCs w:val="24"/>
        </w:rPr>
        <w:t xml:space="preserve">family </w:t>
      </w:r>
      <w:r w:rsidRPr="00B57B6A">
        <w:rPr>
          <w:rFonts w:ascii="Times New Roman" w:hAnsi="Times New Roman" w:cs="Times New Roman"/>
          <w:sz w:val="24"/>
          <w:szCs w:val="24"/>
        </w:rPr>
        <w:t>situation</w:t>
      </w:r>
      <w:r w:rsidR="000B5DFF" w:rsidRPr="00B57B6A">
        <w:rPr>
          <w:rFonts w:ascii="Times New Roman" w:hAnsi="Times New Roman" w:cs="Times New Roman"/>
          <w:sz w:val="24"/>
          <w:szCs w:val="24"/>
        </w:rPr>
        <w:t>. The most fundamental</w:t>
      </w:r>
      <w:r w:rsidR="00D250F6" w:rsidRPr="00B57B6A">
        <w:rPr>
          <w:rFonts w:ascii="Times New Roman" w:hAnsi="Times New Roman" w:cs="Times New Roman"/>
          <w:sz w:val="24"/>
          <w:szCs w:val="24"/>
        </w:rPr>
        <w:t xml:space="preserve"> need</w:t>
      </w:r>
      <w:r w:rsidR="000B5DFF" w:rsidRPr="00B57B6A">
        <w:rPr>
          <w:rFonts w:ascii="Times New Roman" w:hAnsi="Times New Roman" w:cs="Times New Roman"/>
          <w:sz w:val="24"/>
          <w:szCs w:val="24"/>
        </w:rPr>
        <w:t>s</w:t>
      </w:r>
      <w:r w:rsidR="00D250F6" w:rsidRPr="00B57B6A">
        <w:rPr>
          <w:rFonts w:ascii="Times New Roman" w:hAnsi="Times New Roman" w:cs="Times New Roman"/>
          <w:sz w:val="24"/>
          <w:szCs w:val="24"/>
        </w:rPr>
        <w:t xml:space="preserve"> for a child</w:t>
      </w:r>
      <w:r w:rsidR="000B5DFF" w:rsidRPr="00B57B6A">
        <w:rPr>
          <w:rFonts w:ascii="Times New Roman" w:hAnsi="Times New Roman" w:cs="Times New Roman"/>
          <w:sz w:val="24"/>
          <w:szCs w:val="24"/>
        </w:rPr>
        <w:t xml:space="preserve">, beyond food, </w:t>
      </w:r>
      <w:r w:rsidR="00D250F6" w:rsidRPr="00B57B6A">
        <w:rPr>
          <w:rFonts w:ascii="Times New Roman" w:hAnsi="Times New Roman" w:cs="Times New Roman"/>
          <w:sz w:val="24"/>
          <w:szCs w:val="24"/>
        </w:rPr>
        <w:t>shelter</w:t>
      </w:r>
      <w:r w:rsidR="000B5DFF" w:rsidRPr="00B57B6A">
        <w:rPr>
          <w:rFonts w:ascii="Times New Roman" w:hAnsi="Times New Roman" w:cs="Times New Roman"/>
          <w:sz w:val="24"/>
          <w:szCs w:val="24"/>
        </w:rPr>
        <w:t>, and safety are for</w:t>
      </w:r>
      <w:r w:rsidR="00D250F6" w:rsidRPr="00B57B6A">
        <w:rPr>
          <w:rFonts w:ascii="Times New Roman" w:hAnsi="Times New Roman" w:cs="Times New Roman"/>
          <w:sz w:val="24"/>
          <w:szCs w:val="24"/>
        </w:rPr>
        <w:t xml:space="preserve"> the presence of individuals who can provide a stable environment for care and the forma</w:t>
      </w:r>
      <w:r w:rsidR="007A6B22" w:rsidRPr="00B57B6A">
        <w:rPr>
          <w:rFonts w:ascii="Times New Roman" w:hAnsi="Times New Roman" w:cs="Times New Roman"/>
          <w:sz w:val="24"/>
          <w:szCs w:val="24"/>
        </w:rPr>
        <w:t>tion of emotional attachments.</w:t>
      </w:r>
      <w:r w:rsidR="007924C2">
        <w:rPr>
          <w:rFonts w:ascii="Times New Roman" w:hAnsi="Times New Roman" w:cs="Times New Roman"/>
          <w:sz w:val="24"/>
          <w:szCs w:val="24"/>
        </w:rPr>
        <w:t xml:space="preserve"> The provision of more sophisticated psychological support, counselling, education, rehabilitation, or habilitation</w:t>
      </w:r>
      <w:r w:rsidR="00063276" w:rsidRPr="00B57B6A">
        <w:rPr>
          <w:rFonts w:ascii="Times New Roman" w:hAnsi="Times New Roman" w:cs="Times New Roman"/>
          <w:sz w:val="24"/>
          <w:szCs w:val="24"/>
        </w:rPr>
        <w:t xml:space="preserve"> services</w:t>
      </w:r>
      <w:r w:rsidR="007924C2">
        <w:rPr>
          <w:rFonts w:ascii="Times New Roman" w:hAnsi="Times New Roman" w:cs="Times New Roman"/>
          <w:sz w:val="24"/>
          <w:szCs w:val="24"/>
        </w:rPr>
        <w:t xml:space="preserve">, </w:t>
      </w:r>
      <w:r w:rsidR="00063276" w:rsidRPr="00B57B6A">
        <w:rPr>
          <w:rFonts w:ascii="Times New Roman" w:hAnsi="Times New Roman" w:cs="Times New Roman"/>
          <w:sz w:val="24"/>
          <w:szCs w:val="24"/>
        </w:rPr>
        <w:t>may be l</w:t>
      </w:r>
      <w:r w:rsidR="007924C2">
        <w:rPr>
          <w:rFonts w:ascii="Times New Roman" w:hAnsi="Times New Roman" w:cs="Times New Roman"/>
          <w:sz w:val="24"/>
          <w:szCs w:val="24"/>
        </w:rPr>
        <w:t xml:space="preserve">acking in the home. If so, the same professional services </w:t>
      </w:r>
      <w:r w:rsidR="00063276" w:rsidRPr="00B57B6A">
        <w:rPr>
          <w:rFonts w:ascii="Times New Roman" w:hAnsi="Times New Roman" w:cs="Times New Roman"/>
          <w:sz w:val="24"/>
          <w:szCs w:val="24"/>
        </w:rPr>
        <w:t xml:space="preserve">are probably lacking in the institution as well. </w:t>
      </w:r>
      <w:r w:rsidR="00861C86" w:rsidRPr="00B57B6A">
        <w:rPr>
          <w:rFonts w:ascii="Times New Roman" w:hAnsi="Times New Roman" w:cs="Times New Roman"/>
          <w:sz w:val="24"/>
          <w:szCs w:val="24"/>
        </w:rPr>
        <w:t xml:space="preserve">Access to education, recreation and cultural opportunities in the community, or other benefits of community life may not be fully available to every child placed in a family-setting. But if those services are not accessible to a child living in a family, they are </w:t>
      </w:r>
      <w:r w:rsidR="00881226" w:rsidRPr="00B57B6A">
        <w:rPr>
          <w:rFonts w:ascii="Times New Roman" w:hAnsi="Times New Roman" w:cs="Times New Roman"/>
          <w:sz w:val="24"/>
          <w:szCs w:val="24"/>
        </w:rPr>
        <w:t>usually</w:t>
      </w:r>
      <w:r w:rsidR="00861C86" w:rsidRPr="00B57B6A">
        <w:rPr>
          <w:rFonts w:ascii="Times New Roman" w:hAnsi="Times New Roman" w:cs="Times New Roman"/>
          <w:sz w:val="24"/>
          <w:szCs w:val="24"/>
        </w:rPr>
        <w:t xml:space="preserve"> less accessible to a child in an institution.</w:t>
      </w:r>
      <w:r w:rsidR="007257DD" w:rsidRPr="00B57B6A">
        <w:rPr>
          <w:rStyle w:val="FootnoteReference"/>
          <w:rFonts w:ascii="Times New Roman" w:hAnsi="Times New Roman" w:cs="Times New Roman"/>
          <w:sz w:val="24"/>
          <w:szCs w:val="24"/>
        </w:rPr>
        <w:footnoteReference w:id="147"/>
      </w:r>
      <w:r w:rsidR="007257DD" w:rsidRPr="00B57B6A">
        <w:rPr>
          <w:rFonts w:ascii="Times New Roman" w:hAnsi="Times New Roman" w:cs="Times New Roman"/>
          <w:sz w:val="24"/>
          <w:szCs w:val="24"/>
        </w:rPr>
        <w:t xml:space="preserve"> </w:t>
      </w:r>
      <w:r w:rsidR="00861C86" w:rsidRPr="00B57B6A">
        <w:rPr>
          <w:rFonts w:ascii="Times New Roman" w:hAnsi="Times New Roman" w:cs="Times New Roman"/>
          <w:sz w:val="24"/>
          <w:szCs w:val="24"/>
        </w:rPr>
        <w:t xml:space="preserve"> </w:t>
      </w:r>
    </w:p>
    <w:p w14:paraId="7430DD91" w14:textId="77777777" w:rsidR="0012559D" w:rsidRPr="00B57B6A" w:rsidRDefault="0012559D" w:rsidP="00B57B6A">
      <w:pPr>
        <w:pStyle w:val="ListParagraph"/>
        <w:spacing w:after="0" w:line="240" w:lineRule="auto"/>
        <w:ind w:left="0"/>
        <w:jc w:val="both"/>
        <w:rPr>
          <w:rFonts w:ascii="Times New Roman" w:hAnsi="Times New Roman" w:cs="Times New Roman"/>
          <w:sz w:val="24"/>
          <w:szCs w:val="24"/>
        </w:rPr>
      </w:pPr>
    </w:p>
    <w:p w14:paraId="5A67E063" w14:textId="70FC5C7E" w:rsidR="00BF530D" w:rsidRPr="00B57B6A" w:rsidRDefault="00861C86"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t>C</w:t>
      </w:r>
      <w:r w:rsidR="000B5DFF" w:rsidRPr="00B57B6A">
        <w:rPr>
          <w:rFonts w:ascii="Times New Roman" w:hAnsi="Times New Roman" w:cs="Times New Roman"/>
          <w:sz w:val="24"/>
          <w:szCs w:val="24"/>
        </w:rPr>
        <w:t>hildren should not be forced to wait for the creation of a fully inclusive society</w:t>
      </w:r>
      <w:r w:rsidRPr="00B57B6A">
        <w:rPr>
          <w:rFonts w:ascii="Times New Roman" w:hAnsi="Times New Roman" w:cs="Times New Roman"/>
          <w:sz w:val="24"/>
          <w:szCs w:val="24"/>
        </w:rPr>
        <w:t xml:space="preserve"> before they are given a chance to grow up with a family</w:t>
      </w:r>
      <w:r w:rsidR="000B5DFF" w:rsidRPr="00B57B6A">
        <w:rPr>
          <w:rFonts w:ascii="Times New Roman" w:hAnsi="Times New Roman" w:cs="Times New Roman"/>
          <w:sz w:val="24"/>
          <w:szCs w:val="24"/>
        </w:rPr>
        <w:t xml:space="preserve">. </w:t>
      </w:r>
      <w:r w:rsidR="0026715D" w:rsidRPr="00B57B6A">
        <w:rPr>
          <w:rFonts w:ascii="Times New Roman" w:hAnsi="Times New Roman" w:cs="Times New Roman"/>
          <w:sz w:val="24"/>
          <w:szCs w:val="24"/>
        </w:rPr>
        <w:t>As viewed w</w:t>
      </w:r>
      <w:r w:rsidR="0012559D" w:rsidRPr="00B57B6A">
        <w:rPr>
          <w:rFonts w:ascii="Times New Roman" w:hAnsi="Times New Roman" w:cs="Times New Roman"/>
          <w:sz w:val="24"/>
          <w:szCs w:val="24"/>
        </w:rPr>
        <w:t xml:space="preserve">ithin the framework of the CRPD, children have a right to full community integration under Article 19, </w:t>
      </w:r>
      <w:r w:rsidR="0049267E">
        <w:rPr>
          <w:rFonts w:ascii="Times New Roman" w:hAnsi="Times New Roman" w:cs="Times New Roman"/>
          <w:sz w:val="24"/>
          <w:szCs w:val="24"/>
        </w:rPr>
        <w:t>which must</w:t>
      </w:r>
      <w:r w:rsidR="0012559D" w:rsidRPr="00B57B6A">
        <w:rPr>
          <w:rFonts w:ascii="Times New Roman" w:hAnsi="Times New Roman" w:cs="Times New Roman"/>
          <w:sz w:val="24"/>
          <w:szCs w:val="24"/>
        </w:rPr>
        <w:t xml:space="preserve"> be implemented by </w:t>
      </w:r>
      <w:r w:rsidR="0049267E">
        <w:rPr>
          <w:rFonts w:ascii="Times New Roman" w:hAnsi="Times New Roman" w:cs="Times New Roman"/>
          <w:sz w:val="24"/>
          <w:szCs w:val="24"/>
        </w:rPr>
        <w:t xml:space="preserve">means of the provision of </w:t>
      </w:r>
      <w:r w:rsidR="0012559D" w:rsidRPr="00B57B6A">
        <w:rPr>
          <w:rFonts w:ascii="Times New Roman" w:hAnsi="Times New Roman" w:cs="Times New Roman"/>
          <w:sz w:val="24"/>
          <w:szCs w:val="24"/>
        </w:rPr>
        <w:t xml:space="preserve">a full range of community services. </w:t>
      </w:r>
      <w:r w:rsidR="0026715D" w:rsidRPr="00B57B6A">
        <w:rPr>
          <w:rFonts w:ascii="Times New Roman" w:hAnsi="Times New Roman" w:cs="Times New Roman"/>
          <w:sz w:val="24"/>
          <w:szCs w:val="24"/>
        </w:rPr>
        <w:t>Many other provisions of the CRPD</w:t>
      </w:r>
      <w:r w:rsidR="00EB2A08">
        <w:rPr>
          <w:rFonts w:ascii="Times New Roman" w:hAnsi="Times New Roman" w:cs="Times New Roman"/>
          <w:sz w:val="24"/>
          <w:szCs w:val="24"/>
        </w:rPr>
        <w:t>,</w:t>
      </w:r>
      <w:r w:rsidR="00F8003A" w:rsidRPr="00B57B6A">
        <w:rPr>
          <w:rFonts w:ascii="Times New Roman" w:hAnsi="Times New Roman" w:cs="Times New Roman"/>
          <w:sz w:val="24"/>
          <w:szCs w:val="24"/>
        </w:rPr>
        <w:t xml:space="preserve"> such as</w:t>
      </w:r>
      <w:r w:rsidR="0026715D" w:rsidRPr="00B57B6A">
        <w:rPr>
          <w:rFonts w:ascii="Times New Roman" w:hAnsi="Times New Roman" w:cs="Times New Roman"/>
          <w:sz w:val="24"/>
          <w:szCs w:val="24"/>
        </w:rPr>
        <w:t xml:space="preserve"> accessibility to housing, education, m</w:t>
      </w:r>
      <w:r w:rsidR="00F8003A" w:rsidRPr="00B57B6A">
        <w:rPr>
          <w:rFonts w:ascii="Times New Roman" w:hAnsi="Times New Roman" w:cs="Times New Roman"/>
          <w:sz w:val="24"/>
          <w:szCs w:val="24"/>
        </w:rPr>
        <w:t>edical care, and cultural life</w:t>
      </w:r>
      <w:r w:rsidR="00EB2A08">
        <w:rPr>
          <w:rFonts w:ascii="Times New Roman" w:hAnsi="Times New Roman" w:cs="Times New Roman"/>
          <w:sz w:val="24"/>
          <w:szCs w:val="24"/>
        </w:rPr>
        <w:t>,</w:t>
      </w:r>
      <w:r w:rsidR="00F8003A" w:rsidRPr="00B57B6A">
        <w:rPr>
          <w:rFonts w:ascii="Times New Roman" w:hAnsi="Times New Roman" w:cs="Times New Roman"/>
          <w:sz w:val="24"/>
          <w:szCs w:val="24"/>
        </w:rPr>
        <w:t xml:space="preserve"> </w:t>
      </w:r>
      <w:r w:rsidR="0026715D" w:rsidRPr="00B57B6A">
        <w:rPr>
          <w:rFonts w:ascii="Times New Roman" w:hAnsi="Times New Roman" w:cs="Times New Roman"/>
          <w:sz w:val="24"/>
          <w:szCs w:val="24"/>
        </w:rPr>
        <w:t xml:space="preserve">are also essential to creating a fully inclusive society. </w:t>
      </w:r>
      <w:r w:rsidR="0012559D" w:rsidRPr="00B57B6A">
        <w:rPr>
          <w:rFonts w:ascii="Times New Roman" w:hAnsi="Times New Roman" w:cs="Times New Roman"/>
          <w:sz w:val="24"/>
          <w:szCs w:val="24"/>
        </w:rPr>
        <w:t>When countries fail to meet their obligations under Article 19</w:t>
      </w:r>
      <w:r w:rsidR="0026715D" w:rsidRPr="00B57B6A">
        <w:rPr>
          <w:rFonts w:ascii="Times New Roman" w:hAnsi="Times New Roman" w:cs="Times New Roman"/>
          <w:sz w:val="24"/>
          <w:szCs w:val="24"/>
        </w:rPr>
        <w:t xml:space="preserve"> and other provisions of the CRPD</w:t>
      </w:r>
      <w:r w:rsidR="0012559D" w:rsidRPr="00B57B6A">
        <w:rPr>
          <w:rFonts w:ascii="Times New Roman" w:hAnsi="Times New Roman" w:cs="Times New Roman"/>
          <w:sz w:val="24"/>
          <w:szCs w:val="24"/>
        </w:rPr>
        <w:t xml:space="preserve">, however, this does not mean </w:t>
      </w:r>
      <w:r w:rsidR="00F8003A" w:rsidRPr="00B57B6A">
        <w:rPr>
          <w:rFonts w:ascii="Times New Roman" w:hAnsi="Times New Roman" w:cs="Times New Roman"/>
          <w:sz w:val="24"/>
          <w:szCs w:val="24"/>
        </w:rPr>
        <w:t>children should</w:t>
      </w:r>
      <w:r w:rsidR="0012559D" w:rsidRPr="00B57B6A">
        <w:rPr>
          <w:rFonts w:ascii="Times New Roman" w:hAnsi="Times New Roman" w:cs="Times New Roman"/>
          <w:sz w:val="24"/>
          <w:szCs w:val="24"/>
        </w:rPr>
        <w:t xml:space="preserve"> forgo their right to grow up with a family under CRPD Article 23. Given the dangers of institutional care and the need to protect against the risk of torture, it is especially important to recognize that the right to a family, in some circumstances, may have to stand on its own.</w:t>
      </w:r>
    </w:p>
    <w:p w14:paraId="11B10A7A" w14:textId="77777777" w:rsidR="0012559D" w:rsidRPr="00B57B6A" w:rsidRDefault="0012559D" w:rsidP="00B57B6A">
      <w:pPr>
        <w:pStyle w:val="ListParagraph"/>
        <w:spacing w:after="0" w:line="240" w:lineRule="auto"/>
        <w:ind w:left="0"/>
        <w:jc w:val="both"/>
        <w:rPr>
          <w:rFonts w:ascii="Times New Roman" w:hAnsi="Times New Roman" w:cs="Times New Roman"/>
          <w:sz w:val="24"/>
          <w:szCs w:val="24"/>
        </w:rPr>
      </w:pPr>
    </w:p>
    <w:p w14:paraId="3B4401A6" w14:textId="1C754570" w:rsidR="00A24791" w:rsidRPr="00B57B6A" w:rsidRDefault="00486E49"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t>It is important to keep in mind that h</w:t>
      </w:r>
      <w:r w:rsidR="00861C86" w:rsidRPr="00B57B6A">
        <w:rPr>
          <w:rFonts w:ascii="Times New Roman" w:hAnsi="Times New Roman" w:cs="Times New Roman"/>
          <w:sz w:val="24"/>
          <w:szCs w:val="24"/>
        </w:rPr>
        <w:t>uman rights oversight,</w:t>
      </w:r>
      <w:r w:rsidR="007D00F2" w:rsidRPr="00B57B6A">
        <w:rPr>
          <w:rFonts w:ascii="Times New Roman" w:hAnsi="Times New Roman" w:cs="Times New Roman"/>
          <w:sz w:val="24"/>
          <w:szCs w:val="24"/>
        </w:rPr>
        <w:t xml:space="preserve"> monitoring</w:t>
      </w:r>
      <w:r w:rsidR="00861C86" w:rsidRPr="00B57B6A">
        <w:rPr>
          <w:rFonts w:ascii="Times New Roman" w:hAnsi="Times New Roman" w:cs="Times New Roman"/>
          <w:sz w:val="24"/>
          <w:szCs w:val="24"/>
        </w:rPr>
        <w:t>, and protection</w:t>
      </w:r>
      <w:r w:rsidR="007D00F2" w:rsidRPr="00B57B6A">
        <w:rPr>
          <w:rFonts w:ascii="Times New Roman" w:hAnsi="Times New Roman" w:cs="Times New Roman"/>
          <w:sz w:val="24"/>
          <w:szCs w:val="24"/>
        </w:rPr>
        <w:t xml:space="preserve"> </w:t>
      </w:r>
      <w:r w:rsidR="00752F38" w:rsidRPr="00B57B6A">
        <w:rPr>
          <w:rFonts w:ascii="Times New Roman" w:hAnsi="Times New Roman" w:cs="Times New Roman"/>
          <w:sz w:val="24"/>
          <w:szCs w:val="24"/>
        </w:rPr>
        <w:t>are</w:t>
      </w:r>
      <w:r w:rsidR="007D00F2" w:rsidRPr="00B57B6A">
        <w:rPr>
          <w:rFonts w:ascii="Times New Roman" w:hAnsi="Times New Roman" w:cs="Times New Roman"/>
          <w:sz w:val="24"/>
          <w:szCs w:val="24"/>
        </w:rPr>
        <w:t xml:space="preserve"> essential in </w:t>
      </w:r>
      <w:r w:rsidR="00881226" w:rsidRPr="00B57B6A">
        <w:rPr>
          <w:rFonts w:ascii="Times New Roman" w:hAnsi="Times New Roman" w:cs="Times New Roman"/>
          <w:sz w:val="24"/>
          <w:szCs w:val="24"/>
        </w:rPr>
        <w:t xml:space="preserve">community and </w:t>
      </w:r>
      <w:r w:rsidR="007D00F2" w:rsidRPr="00B57B6A">
        <w:rPr>
          <w:rFonts w:ascii="Times New Roman" w:hAnsi="Times New Roman" w:cs="Times New Roman"/>
          <w:sz w:val="24"/>
          <w:szCs w:val="24"/>
        </w:rPr>
        <w:t>family</w:t>
      </w:r>
      <w:r w:rsidR="00752F38" w:rsidRPr="00B57B6A">
        <w:rPr>
          <w:rFonts w:ascii="Times New Roman" w:hAnsi="Times New Roman" w:cs="Times New Roman"/>
          <w:sz w:val="24"/>
          <w:szCs w:val="24"/>
        </w:rPr>
        <w:t xml:space="preserve"> </w:t>
      </w:r>
      <w:r w:rsidR="00881226" w:rsidRPr="00B57B6A">
        <w:rPr>
          <w:rFonts w:ascii="Times New Roman" w:hAnsi="Times New Roman" w:cs="Times New Roman"/>
          <w:sz w:val="24"/>
          <w:szCs w:val="24"/>
        </w:rPr>
        <w:t>settings</w:t>
      </w:r>
      <w:r w:rsidR="00D86638">
        <w:rPr>
          <w:rFonts w:ascii="Times New Roman" w:hAnsi="Times New Roman" w:cs="Times New Roman"/>
          <w:sz w:val="24"/>
          <w:szCs w:val="24"/>
        </w:rPr>
        <w:t>,</w:t>
      </w:r>
      <w:r w:rsidR="00881226" w:rsidRPr="00B57B6A">
        <w:rPr>
          <w:rFonts w:ascii="Times New Roman" w:hAnsi="Times New Roman" w:cs="Times New Roman"/>
          <w:sz w:val="24"/>
          <w:szCs w:val="24"/>
        </w:rPr>
        <w:t xml:space="preserve"> </w:t>
      </w:r>
      <w:r w:rsidR="007D00F2" w:rsidRPr="00B57B6A">
        <w:rPr>
          <w:rFonts w:ascii="Times New Roman" w:hAnsi="Times New Roman" w:cs="Times New Roman"/>
          <w:sz w:val="24"/>
          <w:szCs w:val="24"/>
        </w:rPr>
        <w:t xml:space="preserve">just as </w:t>
      </w:r>
      <w:r w:rsidR="00752F38" w:rsidRPr="00B57B6A">
        <w:rPr>
          <w:rFonts w:ascii="Times New Roman" w:hAnsi="Times New Roman" w:cs="Times New Roman"/>
          <w:sz w:val="24"/>
          <w:szCs w:val="24"/>
        </w:rPr>
        <w:t>they are</w:t>
      </w:r>
      <w:r w:rsidR="007D00F2" w:rsidRPr="00B57B6A">
        <w:rPr>
          <w:rFonts w:ascii="Times New Roman" w:hAnsi="Times New Roman" w:cs="Times New Roman"/>
          <w:sz w:val="24"/>
          <w:szCs w:val="24"/>
        </w:rPr>
        <w:t xml:space="preserve"> in </w:t>
      </w:r>
      <w:r w:rsidR="00861C86" w:rsidRPr="00B57B6A">
        <w:rPr>
          <w:rFonts w:ascii="Times New Roman" w:hAnsi="Times New Roman" w:cs="Times New Roman"/>
          <w:sz w:val="24"/>
          <w:szCs w:val="24"/>
        </w:rPr>
        <w:t>the institution.</w:t>
      </w:r>
      <w:r w:rsidR="00BF530D" w:rsidRPr="00B57B6A">
        <w:rPr>
          <w:rFonts w:ascii="Times New Roman" w:hAnsi="Times New Roman" w:cs="Times New Roman"/>
          <w:sz w:val="24"/>
          <w:szCs w:val="24"/>
        </w:rPr>
        <w:t xml:space="preserve"> </w:t>
      </w:r>
      <w:r w:rsidR="0026715D" w:rsidRPr="00B57B6A">
        <w:rPr>
          <w:rFonts w:ascii="Times New Roman" w:hAnsi="Times New Roman" w:cs="Times New Roman"/>
          <w:sz w:val="24"/>
          <w:szCs w:val="24"/>
        </w:rPr>
        <w:t>These protections are described below in Section VI.</w:t>
      </w:r>
    </w:p>
    <w:p w14:paraId="116B22D8" w14:textId="77777777" w:rsidR="002C60AB" w:rsidRPr="00B57B6A" w:rsidRDefault="002C60AB" w:rsidP="00B57B6A">
      <w:pPr>
        <w:pStyle w:val="ListParagraph"/>
        <w:spacing w:after="0" w:line="240" w:lineRule="auto"/>
        <w:ind w:left="0"/>
        <w:jc w:val="both"/>
        <w:rPr>
          <w:rStyle w:val="SubtleReference"/>
          <w:rFonts w:ascii="Times New Roman" w:hAnsi="Times New Roman" w:cs="Times New Roman"/>
          <w:sz w:val="24"/>
          <w:szCs w:val="24"/>
          <w:u w:val="none"/>
        </w:rPr>
      </w:pPr>
    </w:p>
    <w:p w14:paraId="1DBB15AA" w14:textId="159E5605" w:rsidR="007A1DAB" w:rsidRPr="00B57B6A" w:rsidRDefault="009A41DA" w:rsidP="00EB136D">
      <w:pPr>
        <w:pStyle w:val="Heading2"/>
        <w:numPr>
          <w:ilvl w:val="0"/>
          <w:numId w:val="27"/>
        </w:numPr>
        <w:spacing w:line="240" w:lineRule="auto"/>
        <w:rPr>
          <w:rFonts w:ascii="Times New Roman" w:hAnsi="Times New Roman" w:cs="Times New Roman"/>
          <w:sz w:val="24"/>
          <w:szCs w:val="24"/>
        </w:rPr>
      </w:pPr>
      <w:bookmarkStart w:id="59" w:name="_Toc471468478"/>
      <w:r w:rsidRPr="00B57B6A">
        <w:rPr>
          <w:rFonts w:ascii="Times New Roman" w:hAnsi="Times New Roman" w:cs="Times New Roman"/>
          <w:sz w:val="24"/>
          <w:szCs w:val="24"/>
        </w:rPr>
        <w:t>General Comment #9</w:t>
      </w:r>
      <w:bookmarkEnd w:id="59"/>
    </w:p>
    <w:p w14:paraId="0C34AE0F" w14:textId="59F5904F" w:rsidR="007A1DAB" w:rsidRPr="00B57B6A" w:rsidRDefault="007A1DAB"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lastRenderedPageBreak/>
        <w:t xml:space="preserve">Unlike the </w:t>
      </w:r>
      <w:r w:rsidR="0048081E">
        <w:rPr>
          <w:rFonts w:ascii="Times New Roman" w:hAnsi="Times New Roman" w:cs="Times New Roman"/>
          <w:sz w:val="24"/>
          <w:szCs w:val="24"/>
        </w:rPr>
        <w:t>Torture St</w:t>
      </w:r>
      <w:r w:rsidR="00D86638">
        <w:rPr>
          <w:rFonts w:ascii="Times New Roman" w:hAnsi="Times New Roman" w:cs="Times New Roman"/>
          <w:sz w:val="24"/>
          <w:szCs w:val="24"/>
        </w:rPr>
        <w:t>andard</w:t>
      </w:r>
      <w:r w:rsidR="006E7F14" w:rsidRPr="00B57B6A">
        <w:rPr>
          <w:rFonts w:ascii="Times New Roman" w:hAnsi="Times New Roman" w:cs="Times New Roman"/>
          <w:sz w:val="24"/>
          <w:szCs w:val="24"/>
        </w:rPr>
        <w:t xml:space="preserve">, </w:t>
      </w:r>
      <w:r w:rsidRPr="00B57B6A">
        <w:rPr>
          <w:rFonts w:ascii="Times New Roman" w:hAnsi="Times New Roman" w:cs="Times New Roman"/>
          <w:sz w:val="24"/>
          <w:szCs w:val="24"/>
        </w:rPr>
        <w:t>General Comment #9 of the</w:t>
      </w:r>
      <w:r w:rsidR="00C17905">
        <w:rPr>
          <w:rFonts w:ascii="Times New Roman" w:hAnsi="Times New Roman" w:cs="Times New Roman"/>
          <w:sz w:val="24"/>
          <w:szCs w:val="24"/>
        </w:rPr>
        <w:t xml:space="preserve"> UN</w:t>
      </w:r>
      <w:r w:rsidR="00637A86">
        <w:rPr>
          <w:rFonts w:ascii="Times New Roman" w:hAnsi="Times New Roman" w:cs="Times New Roman"/>
          <w:sz w:val="24"/>
          <w:szCs w:val="24"/>
        </w:rPr>
        <w:t xml:space="preserve"> </w:t>
      </w:r>
      <w:r w:rsidRPr="00B57B6A">
        <w:rPr>
          <w:rFonts w:ascii="Times New Roman" w:hAnsi="Times New Roman" w:cs="Times New Roman"/>
          <w:sz w:val="24"/>
          <w:szCs w:val="24"/>
        </w:rPr>
        <w:t>C</w:t>
      </w:r>
      <w:r w:rsidR="00C17905">
        <w:rPr>
          <w:rFonts w:ascii="Times New Roman" w:hAnsi="Times New Roman" w:cs="Times New Roman"/>
          <w:sz w:val="24"/>
          <w:szCs w:val="24"/>
        </w:rPr>
        <w:t xml:space="preserve">ommittee on the </w:t>
      </w:r>
      <w:r w:rsidRPr="00B57B6A">
        <w:rPr>
          <w:rFonts w:ascii="Times New Roman" w:hAnsi="Times New Roman" w:cs="Times New Roman"/>
          <w:sz w:val="24"/>
          <w:szCs w:val="24"/>
        </w:rPr>
        <w:t>R</w:t>
      </w:r>
      <w:r w:rsidR="00C17905">
        <w:rPr>
          <w:rFonts w:ascii="Times New Roman" w:hAnsi="Times New Roman" w:cs="Times New Roman"/>
          <w:sz w:val="24"/>
          <w:szCs w:val="24"/>
        </w:rPr>
        <w:t xml:space="preserve">ights of the </w:t>
      </w:r>
      <w:r w:rsidRPr="00B57B6A">
        <w:rPr>
          <w:rFonts w:ascii="Times New Roman" w:hAnsi="Times New Roman" w:cs="Times New Roman"/>
          <w:sz w:val="24"/>
          <w:szCs w:val="24"/>
        </w:rPr>
        <w:t>C</w:t>
      </w:r>
      <w:r w:rsidR="00C17905">
        <w:rPr>
          <w:rFonts w:ascii="Times New Roman" w:hAnsi="Times New Roman" w:cs="Times New Roman"/>
          <w:sz w:val="24"/>
          <w:szCs w:val="24"/>
        </w:rPr>
        <w:t>hild</w:t>
      </w:r>
      <w:r w:rsidRPr="00B57B6A">
        <w:rPr>
          <w:rFonts w:ascii="Times New Roman" w:hAnsi="Times New Roman" w:cs="Times New Roman"/>
          <w:sz w:val="24"/>
          <w:szCs w:val="24"/>
        </w:rPr>
        <w:t xml:space="preserve"> only includes the first two elements</w:t>
      </w:r>
      <w:r w:rsidR="0037307B">
        <w:rPr>
          <w:rFonts w:ascii="Times New Roman" w:hAnsi="Times New Roman" w:cs="Times New Roman"/>
          <w:sz w:val="24"/>
          <w:szCs w:val="24"/>
        </w:rPr>
        <w:t xml:space="preserve"> of last resort and best interests of the child</w:t>
      </w:r>
      <w:r w:rsidRPr="00B57B6A">
        <w:rPr>
          <w:rFonts w:ascii="Times New Roman" w:hAnsi="Times New Roman" w:cs="Times New Roman"/>
          <w:sz w:val="24"/>
          <w:szCs w:val="24"/>
        </w:rPr>
        <w:t>. The Committee:</w:t>
      </w:r>
    </w:p>
    <w:p w14:paraId="5C06294C" w14:textId="77777777" w:rsidR="007A1DAB" w:rsidRPr="00B57B6A" w:rsidRDefault="007A1DAB" w:rsidP="00B57B6A">
      <w:pPr>
        <w:pStyle w:val="ListParagraph"/>
        <w:spacing w:after="0" w:line="240" w:lineRule="auto"/>
        <w:ind w:left="0"/>
        <w:jc w:val="both"/>
        <w:rPr>
          <w:rFonts w:ascii="Times New Roman" w:hAnsi="Times New Roman" w:cs="Times New Roman"/>
          <w:sz w:val="24"/>
          <w:szCs w:val="24"/>
        </w:rPr>
      </w:pPr>
    </w:p>
    <w:p w14:paraId="736B3D1F" w14:textId="77777777" w:rsidR="007A1DAB" w:rsidRPr="00B57B6A" w:rsidRDefault="007A1DAB" w:rsidP="00B57B6A">
      <w:pPr>
        <w:pStyle w:val="ListParagraph"/>
        <w:spacing w:after="0" w:line="240" w:lineRule="auto"/>
        <w:ind w:right="720"/>
        <w:jc w:val="both"/>
        <w:rPr>
          <w:rFonts w:ascii="Times New Roman" w:hAnsi="Times New Roman" w:cs="Times New Roman"/>
          <w:sz w:val="24"/>
          <w:szCs w:val="24"/>
        </w:rPr>
      </w:pPr>
      <w:r w:rsidRPr="00B57B6A">
        <w:rPr>
          <w:rFonts w:ascii="Times New Roman" w:hAnsi="Times New Roman" w:cs="Times New Roman"/>
          <w:sz w:val="24"/>
          <w:szCs w:val="24"/>
        </w:rPr>
        <w:t>… urges States parties to use the placement in institution only as a measure of last resort, when it is absolutely necessary and in the best interests of the child. It recommends that the States parties prevent the use of placement in institution merely with the goal of limiting the child’s liberty or freedom of movement.</w:t>
      </w:r>
      <w:r w:rsidRPr="00B57B6A">
        <w:rPr>
          <w:rFonts w:ascii="Times New Roman" w:hAnsi="Times New Roman" w:cs="Times New Roman"/>
          <w:iCs/>
          <w:sz w:val="24"/>
          <w:szCs w:val="24"/>
        </w:rPr>
        <w:t xml:space="preserve"> In addition, attention should be paid to transforming existing institutions, with a focus on small residential care facilities organized around the rights and needs of the child, to developing national standards for care in institutions, and to establishing rigorous screening and monitoring procedures to ensure effective implementation of these standards.</w:t>
      </w:r>
    </w:p>
    <w:p w14:paraId="7414B968" w14:textId="77777777" w:rsidR="007A1DAB" w:rsidRPr="00B57B6A" w:rsidRDefault="007A1DAB" w:rsidP="00B57B6A">
      <w:pPr>
        <w:pStyle w:val="ListParagraph"/>
        <w:spacing w:after="0" w:line="240" w:lineRule="auto"/>
        <w:ind w:left="0"/>
        <w:jc w:val="both"/>
        <w:rPr>
          <w:rFonts w:ascii="Times New Roman" w:hAnsi="Times New Roman" w:cs="Times New Roman"/>
          <w:b/>
          <w:sz w:val="24"/>
          <w:szCs w:val="24"/>
        </w:rPr>
      </w:pPr>
    </w:p>
    <w:p w14:paraId="03D55369" w14:textId="76B336B2" w:rsidR="00861C86" w:rsidRPr="00B57B6A" w:rsidRDefault="007A1DAB"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t>Once a child is placed in an institution as a last resort, the language of General Comment #9 does not require such placement to be temporary.</w:t>
      </w:r>
      <w:r w:rsidR="003E55E1">
        <w:rPr>
          <w:rFonts w:ascii="Times New Roman" w:hAnsi="Times New Roman" w:cs="Times New Roman"/>
          <w:sz w:val="24"/>
          <w:szCs w:val="24"/>
        </w:rPr>
        <w:t xml:space="preserve"> </w:t>
      </w:r>
      <w:r w:rsidRPr="00B57B6A">
        <w:rPr>
          <w:rFonts w:ascii="Times New Roman" w:hAnsi="Times New Roman" w:cs="Times New Roman"/>
          <w:sz w:val="24"/>
          <w:szCs w:val="24"/>
        </w:rPr>
        <w:t>Of greater concern</w:t>
      </w:r>
      <w:r w:rsidR="007E7125">
        <w:rPr>
          <w:rFonts w:ascii="Times New Roman" w:hAnsi="Times New Roman" w:cs="Times New Roman"/>
          <w:sz w:val="24"/>
          <w:szCs w:val="24"/>
        </w:rPr>
        <w:t xml:space="preserve"> is the fact that </w:t>
      </w:r>
      <w:r w:rsidRPr="00B57B6A">
        <w:rPr>
          <w:rFonts w:ascii="Times New Roman" w:hAnsi="Times New Roman" w:cs="Times New Roman"/>
          <w:sz w:val="24"/>
          <w:szCs w:val="24"/>
        </w:rPr>
        <w:t xml:space="preserve">the above language appears to share the same assumption of CRC </w:t>
      </w:r>
      <w:r w:rsidR="00903ED1" w:rsidRPr="00B57B6A">
        <w:rPr>
          <w:rFonts w:ascii="Times New Roman" w:hAnsi="Times New Roman" w:cs="Times New Roman"/>
          <w:sz w:val="24"/>
          <w:szCs w:val="24"/>
        </w:rPr>
        <w:t>A</w:t>
      </w:r>
      <w:r w:rsidRPr="00B57B6A">
        <w:rPr>
          <w:rFonts w:ascii="Times New Roman" w:hAnsi="Times New Roman" w:cs="Times New Roman"/>
          <w:sz w:val="24"/>
          <w:szCs w:val="24"/>
        </w:rPr>
        <w:t xml:space="preserve">rticle 20 that children can be placed in “suitable institutions.” </w:t>
      </w:r>
      <w:r w:rsidR="00BF530D" w:rsidRPr="00B57B6A">
        <w:rPr>
          <w:rFonts w:ascii="Times New Roman" w:hAnsi="Times New Roman" w:cs="Times New Roman"/>
          <w:sz w:val="24"/>
          <w:szCs w:val="24"/>
        </w:rPr>
        <w:t>The creation of “small institutions” seems to be a goal</w:t>
      </w:r>
      <w:r w:rsidR="001250C2">
        <w:rPr>
          <w:rFonts w:ascii="Times New Roman" w:hAnsi="Times New Roman" w:cs="Times New Roman"/>
          <w:sz w:val="24"/>
          <w:szCs w:val="24"/>
        </w:rPr>
        <w:t>,</w:t>
      </w:r>
      <w:r w:rsidR="00BF530D" w:rsidRPr="00B57B6A">
        <w:rPr>
          <w:rFonts w:ascii="Times New Roman" w:hAnsi="Times New Roman" w:cs="Times New Roman"/>
          <w:sz w:val="24"/>
          <w:szCs w:val="24"/>
        </w:rPr>
        <w:t xml:space="preserve"> rather than a transitional step toward full community integration.</w:t>
      </w:r>
    </w:p>
    <w:p w14:paraId="1856BEDA" w14:textId="77777777" w:rsidR="00861C86" w:rsidRPr="00B57B6A" w:rsidRDefault="00861C86" w:rsidP="00B57B6A">
      <w:pPr>
        <w:pStyle w:val="ListParagraph"/>
        <w:spacing w:after="0" w:line="240" w:lineRule="auto"/>
        <w:ind w:left="0"/>
        <w:jc w:val="both"/>
        <w:rPr>
          <w:rFonts w:ascii="Times New Roman" w:hAnsi="Times New Roman" w:cs="Times New Roman"/>
          <w:sz w:val="24"/>
          <w:szCs w:val="24"/>
        </w:rPr>
      </w:pPr>
    </w:p>
    <w:p w14:paraId="09D18EBC" w14:textId="700182E5" w:rsidR="00531170" w:rsidRDefault="00861C86"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t>The term “transforming institutions”</w:t>
      </w:r>
      <w:r w:rsidR="00BF530D" w:rsidRPr="00B57B6A">
        <w:rPr>
          <w:rFonts w:ascii="Times New Roman" w:hAnsi="Times New Roman" w:cs="Times New Roman"/>
          <w:sz w:val="24"/>
          <w:szCs w:val="24"/>
        </w:rPr>
        <w:t xml:space="preserve"> can be very misleading --</w:t>
      </w:r>
      <w:r w:rsidRPr="00B57B6A">
        <w:rPr>
          <w:rFonts w:ascii="Times New Roman" w:hAnsi="Times New Roman" w:cs="Times New Roman"/>
          <w:sz w:val="24"/>
          <w:szCs w:val="24"/>
        </w:rPr>
        <w:t xml:space="preserve"> especially to non-experts</w:t>
      </w:r>
      <w:r w:rsidR="00BF530D" w:rsidRPr="00B57B6A">
        <w:rPr>
          <w:rFonts w:ascii="Times New Roman" w:hAnsi="Times New Roman" w:cs="Times New Roman"/>
          <w:sz w:val="24"/>
          <w:szCs w:val="24"/>
        </w:rPr>
        <w:t xml:space="preserve"> or people not familiar with the community integration of children or adults with </w:t>
      </w:r>
      <w:r w:rsidR="00903ED1" w:rsidRPr="00B57B6A">
        <w:rPr>
          <w:rFonts w:ascii="Times New Roman" w:hAnsi="Times New Roman" w:cs="Times New Roman"/>
          <w:sz w:val="24"/>
          <w:szCs w:val="24"/>
        </w:rPr>
        <w:t>disabilities</w:t>
      </w:r>
      <w:r w:rsidRPr="00B57B6A">
        <w:rPr>
          <w:rFonts w:ascii="Times New Roman" w:hAnsi="Times New Roman" w:cs="Times New Roman"/>
          <w:sz w:val="24"/>
          <w:szCs w:val="24"/>
        </w:rPr>
        <w:t xml:space="preserve">.  This author has often heard the term used by international development organizations as they invest new funds in fixing-up institutions. Recently in Ukraine, for example, Disability Rights International learned of a large World Bank Project </w:t>
      </w:r>
      <w:r w:rsidR="006E7098" w:rsidRPr="00B57B6A">
        <w:rPr>
          <w:rFonts w:ascii="Times New Roman" w:hAnsi="Times New Roman" w:cs="Times New Roman"/>
          <w:sz w:val="24"/>
          <w:szCs w:val="24"/>
        </w:rPr>
        <w:t xml:space="preserve">to close institutions for children and integrate them into the community. Since there were not adequate community services </w:t>
      </w:r>
      <w:r w:rsidR="00D45240">
        <w:rPr>
          <w:rFonts w:ascii="Times New Roman" w:hAnsi="Times New Roman" w:cs="Times New Roman"/>
          <w:sz w:val="24"/>
          <w:szCs w:val="24"/>
        </w:rPr>
        <w:t>available f</w:t>
      </w:r>
      <w:r w:rsidR="006E7098" w:rsidRPr="00B57B6A">
        <w:rPr>
          <w:rFonts w:ascii="Times New Roman" w:hAnsi="Times New Roman" w:cs="Times New Roman"/>
          <w:sz w:val="24"/>
          <w:szCs w:val="24"/>
        </w:rPr>
        <w:t xml:space="preserve">or children with disabilities, the plan called for “transforming” </w:t>
      </w:r>
      <w:r w:rsidR="002D2274">
        <w:rPr>
          <w:rFonts w:ascii="Times New Roman" w:hAnsi="Times New Roman" w:cs="Times New Roman"/>
          <w:sz w:val="24"/>
          <w:szCs w:val="24"/>
        </w:rPr>
        <w:t xml:space="preserve">existing residential institutions </w:t>
      </w:r>
      <w:r w:rsidR="006E7098" w:rsidRPr="00B57B6A">
        <w:rPr>
          <w:rFonts w:ascii="Times New Roman" w:hAnsi="Times New Roman" w:cs="Times New Roman"/>
          <w:sz w:val="24"/>
          <w:szCs w:val="24"/>
        </w:rPr>
        <w:t>to provide rights-oriented and family-like settings.</w:t>
      </w:r>
      <w:bookmarkStart w:id="60" w:name="_Ref471315779"/>
      <w:r w:rsidR="006E7098" w:rsidRPr="00B57B6A">
        <w:rPr>
          <w:rStyle w:val="FootnoteReference"/>
          <w:rFonts w:ascii="Times New Roman" w:hAnsi="Times New Roman" w:cs="Times New Roman"/>
          <w:sz w:val="24"/>
          <w:szCs w:val="24"/>
        </w:rPr>
        <w:footnoteReference w:id="148"/>
      </w:r>
      <w:bookmarkEnd w:id="60"/>
      <w:r w:rsidR="006E7098" w:rsidRPr="00B57B6A">
        <w:rPr>
          <w:rFonts w:ascii="Times New Roman" w:hAnsi="Times New Roman" w:cs="Times New Roman"/>
          <w:sz w:val="24"/>
          <w:szCs w:val="24"/>
        </w:rPr>
        <w:t xml:space="preserve"> </w:t>
      </w:r>
    </w:p>
    <w:p w14:paraId="6CD847FE" w14:textId="77777777" w:rsidR="009B12A2" w:rsidRDefault="009B12A2" w:rsidP="00B57B6A">
      <w:pPr>
        <w:pStyle w:val="ListParagraph"/>
        <w:spacing w:after="0" w:line="240" w:lineRule="auto"/>
        <w:ind w:left="0"/>
        <w:jc w:val="both"/>
        <w:rPr>
          <w:rFonts w:ascii="Times New Roman" w:hAnsi="Times New Roman" w:cs="Times New Roman"/>
          <w:sz w:val="24"/>
          <w:szCs w:val="24"/>
        </w:rPr>
      </w:pPr>
    </w:p>
    <w:p w14:paraId="4494DA27" w14:textId="2BA04D58" w:rsidR="00531170" w:rsidRDefault="00CA732A" w:rsidP="00B57B6A">
      <w:pPr>
        <w:pStyle w:val="ListParagraph"/>
        <w:spacing w:after="0" w:line="240" w:lineRule="auto"/>
        <w:ind w:left="0"/>
        <w:jc w:val="both"/>
        <w:rPr>
          <w:rFonts w:ascii="Times New Roman" w:hAnsi="Times New Roman" w:cs="Times New Roman"/>
          <w:sz w:val="24"/>
          <w:szCs w:val="24"/>
        </w:rPr>
      </w:pPr>
      <w:r w:rsidRPr="00B57B6A">
        <w:rPr>
          <w:rFonts w:ascii="Times New Roman" w:hAnsi="Times New Roman" w:cs="Times New Roman"/>
          <w:sz w:val="24"/>
          <w:szCs w:val="24"/>
        </w:rPr>
        <w:t xml:space="preserve">As discussed in Part II of this paper, </w:t>
      </w:r>
      <w:r w:rsidR="004700C6" w:rsidRPr="00B57B6A">
        <w:rPr>
          <w:rFonts w:ascii="Times New Roman" w:hAnsi="Times New Roman" w:cs="Times New Roman"/>
          <w:sz w:val="24"/>
          <w:szCs w:val="24"/>
        </w:rPr>
        <w:t xml:space="preserve">many professionals now </w:t>
      </w:r>
      <w:r w:rsidRPr="00B57B6A">
        <w:rPr>
          <w:rFonts w:ascii="Times New Roman" w:hAnsi="Times New Roman" w:cs="Times New Roman"/>
          <w:sz w:val="24"/>
          <w:szCs w:val="24"/>
        </w:rPr>
        <w:t>question</w:t>
      </w:r>
      <w:r w:rsidR="004700C6"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whether efforts to improve institutions </w:t>
      </w:r>
      <w:r w:rsidR="004700C6" w:rsidRPr="00B57B6A">
        <w:rPr>
          <w:rFonts w:ascii="Times New Roman" w:hAnsi="Times New Roman" w:cs="Times New Roman"/>
          <w:sz w:val="24"/>
          <w:szCs w:val="24"/>
        </w:rPr>
        <w:t xml:space="preserve">can </w:t>
      </w:r>
      <w:r w:rsidRPr="00B57B6A">
        <w:rPr>
          <w:rFonts w:ascii="Times New Roman" w:hAnsi="Times New Roman" w:cs="Times New Roman"/>
          <w:sz w:val="24"/>
          <w:szCs w:val="24"/>
        </w:rPr>
        <w:t xml:space="preserve">really </w:t>
      </w:r>
      <w:r w:rsidR="004700C6" w:rsidRPr="00B57B6A">
        <w:rPr>
          <w:rFonts w:ascii="Times New Roman" w:hAnsi="Times New Roman" w:cs="Times New Roman"/>
          <w:sz w:val="24"/>
          <w:szCs w:val="24"/>
        </w:rPr>
        <w:t>meet the needs of children.</w:t>
      </w:r>
      <w:r w:rsidR="004700C6" w:rsidRPr="00B57B6A">
        <w:rPr>
          <w:rStyle w:val="FootnoteReference"/>
          <w:rFonts w:ascii="Times New Roman" w:hAnsi="Times New Roman" w:cs="Times New Roman"/>
          <w:sz w:val="24"/>
          <w:szCs w:val="24"/>
        </w:rPr>
        <w:footnoteReference w:id="149"/>
      </w:r>
      <w:r w:rsidRPr="00B57B6A">
        <w:rPr>
          <w:rFonts w:ascii="Times New Roman" w:hAnsi="Times New Roman" w:cs="Times New Roman"/>
          <w:sz w:val="24"/>
          <w:szCs w:val="24"/>
        </w:rPr>
        <w:t xml:space="preserve"> </w:t>
      </w:r>
      <w:r w:rsidR="008D7A56">
        <w:rPr>
          <w:rFonts w:ascii="Times New Roman" w:hAnsi="Times New Roman" w:cs="Times New Roman"/>
          <w:sz w:val="24"/>
          <w:szCs w:val="24"/>
        </w:rPr>
        <w:t xml:space="preserve">In the opinion of </w:t>
      </w:r>
      <w:r w:rsidR="006E7098" w:rsidRPr="00B57B6A">
        <w:rPr>
          <w:rFonts w:ascii="Times New Roman" w:hAnsi="Times New Roman" w:cs="Times New Roman"/>
          <w:sz w:val="24"/>
          <w:szCs w:val="24"/>
        </w:rPr>
        <w:t>Karen Green McGowan, President of the US Developmental Disabilities Nurses Association</w:t>
      </w:r>
      <w:r w:rsidR="00531170">
        <w:rPr>
          <w:rFonts w:ascii="Times New Roman" w:hAnsi="Times New Roman" w:cs="Times New Roman"/>
          <w:sz w:val="24"/>
          <w:szCs w:val="24"/>
        </w:rPr>
        <w:t>:</w:t>
      </w:r>
      <w:r w:rsidR="006E7098" w:rsidRPr="00B57B6A">
        <w:rPr>
          <w:rFonts w:ascii="Times New Roman" w:hAnsi="Times New Roman" w:cs="Times New Roman"/>
          <w:sz w:val="24"/>
          <w:szCs w:val="24"/>
        </w:rPr>
        <w:t xml:space="preserve"> </w:t>
      </w:r>
    </w:p>
    <w:p w14:paraId="1A2C1CE0" w14:textId="77777777" w:rsidR="00531170" w:rsidRDefault="00531170" w:rsidP="00B57B6A">
      <w:pPr>
        <w:pStyle w:val="ListParagraph"/>
        <w:spacing w:after="0" w:line="240" w:lineRule="auto"/>
        <w:ind w:left="0"/>
        <w:jc w:val="both"/>
        <w:rPr>
          <w:rFonts w:ascii="Times New Roman" w:hAnsi="Times New Roman" w:cs="Times New Roman"/>
          <w:sz w:val="24"/>
          <w:szCs w:val="24"/>
        </w:rPr>
      </w:pPr>
    </w:p>
    <w:p w14:paraId="2B7A7CE0" w14:textId="7CDC9C36" w:rsidR="00E34D30" w:rsidRPr="00B57B6A" w:rsidRDefault="00531170" w:rsidP="00531170">
      <w:pPr>
        <w:pStyle w:val="ListParagraph"/>
        <w:spacing w:after="0" w:line="240" w:lineRule="auto"/>
        <w:ind w:right="720"/>
        <w:jc w:val="both"/>
        <w:rPr>
          <w:rFonts w:ascii="Times New Roman" w:hAnsi="Times New Roman" w:cs="Times New Roman"/>
          <w:sz w:val="24"/>
          <w:szCs w:val="24"/>
        </w:rPr>
      </w:pPr>
      <w:r>
        <w:rPr>
          <w:rFonts w:ascii="Times New Roman" w:hAnsi="Times New Roman" w:cs="Times New Roman"/>
          <w:sz w:val="24"/>
          <w:szCs w:val="24"/>
        </w:rPr>
        <w:t>A</w:t>
      </w:r>
      <w:r w:rsidR="006E7098" w:rsidRPr="00B57B6A">
        <w:rPr>
          <w:rFonts w:ascii="Times New Roman" w:hAnsi="Times New Roman" w:cs="Times New Roman"/>
          <w:sz w:val="24"/>
          <w:szCs w:val="24"/>
        </w:rPr>
        <w:t xml:space="preserve"> family-like </w:t>
      </w:r>
      <w:r w:rsidR="00CA732A" w:rsidRPr="00B57B6A">
        <w:rPr>
          <w:rFonts w:ascii="Times New Roman" w:hAnsi="Times New Roman" w:cs="Times New Roman"/>
          <w:sz w:val="24"/>
          <w:szCs w:val="24"/>
        </w:rPr>
        <w:t>institution is an oxymoron</w:t>
      </w:r>
      <w:r>
        <w:rPr>
          <w:rFonts w:ascii="Times New Roman" w:hAnsi="Times New Roman" w:cs="Times New Roman"/>
          <w:sz w:val="24"/>
          <w:szCs w:val="24"/>
        </w:rPr>
        <w:t>, and the effort to create one is a fool’s errand</w:t>
      </w:r>
      <w:r w:rsidR="002D634F" w:rsidRPr="00B57B6A">
        <w:rPr>
          <w:rFonts w:ascii="Times New Roman" w:hAnsi="Times New Roman" w:cs="Times New Roman"/>
          <w:sz w:val="24"/>
          <w:szCs w:val="24"/>
        </w:rPr>
        <w:t>.</w:t>
      </w:r>
      <w:r>
        <w:rPr>
          <w:rFonts w:ascii="Times New Roman" w:hAnsi="Times New Roman" w:cs="Times New Roman"/>
          <w:sz w:val="24"/>
          <w:szCs w:val="24"/>
        </w:rPr>
        <w:t xml:space="preserve"> When children are tucked into bed at night, they can tell the difference between a parent and a care-giver who is heading home to take care of his or her own children. As health care professionals, we can see the impact of this difference on the child.</w:t>
      </w:r>
      <w:r w:rsidR="006E7098" w:rsidRPr="00B57B6A">
        <w:rPr>
          <w:rStyle w:val="FootnoteReference"/>
          <w:rFonts w:ascii="Times New Roman" w:hAnsi="Times New Roman" w:cs="Times New Roman"/>
          <w:sz w:val="24"/>
          <w:szCs w:val="24"/>
        </w:rPr>
        <w:footnoteReference w:id="150"/>
      </w:r>
    </w:p>
    <w:p w14:paraId="090A2AFA" w14:textId="77777777" w:rsidR="004700C6" w:rsidRPr="00B57B6A" w:rsidRDefault="004700C6" w:rsidP="00B57B6A">
      <w:pPr>
        <w:pStyle w:val="ListParagraph"/>
        <w:spacing w:after="0" w:line="240" w:lineRule="auto"/>
        <w:ind w:left="0"/>
        <w:jc w:val="both"/>
        <w:rPr>
          <w:rFonts w:ascii="Times New Roman" w:hAnsi="Times New Roman" w:cs="Times New Roman"/>
          <w:sz w:val="24"/>
          <w:szCs w:val="24"/>
        </w:rPr>
      </w:pPr>
    </w:p>
    <w:p w14:paraId="2FE1152B" w14:textId="3661C7B7" w:rsidR="00012DFD" w:rsidRPr="00B57B6A" w:rsidRDefault="002D634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Despite the ambiguities created by the language of </w:t>
      </w:r>
      <w:r w:rsidR="00012DFD" w:rsidRPr="00B57B6A">
        <w:rPr>
          <w:rFonts w:ascii="Times New Roman" w:hAnsi="Times New Roman" w:cs="Times New Roman"/>
          <w:sz w:val="24"/>
          <w:szCs w:val="24"/>
        </w:rPr>
        <w:t>General Comment #9</w:t>
      </w:r>
      <w:r w:rsidRPr="00B57B6A">
        <w:rPr>
          <w:rFonts w:ascii="Times New Roman" w:hAnsi="Times New Roman" w:cs="Times New Roman"/>
          <w:sz w:val="24"/>
          <w:szCs w:val="24"/>
        </w:rPr>
        <w:t>, it</w:t>
      </w:r>
      <w:r w:rsidR="00BF530D" w:rsidRPr="00B57B6A">
        <w:rPr>
          <w:rFonts w:ascii="Times New Roman" w:hAnsi="Times New Roman" w:cs="Times New Roman"/>
          <w:sz w:val="24"/>
          <w:szCs w:val="24"/>
        </w:rPr>
        <w:t xml:space="preserve"> was </w:t>
      </w:r>
      <w:r w:rsidRPr="00B57B6A">
        <w:rPr>
          <w:rFonts w:ascii="Times New Roman" w:hAnsi="Times New Roman" w:cs="Times New Roman"/>
          <w:sz w:val="24"/>
          <w:szCs w:val="24"/>
        </w:rPr>
        <w:t>clearly not intended to favor</w:t>
      </w:r>
      <w:r w:rsidR="00012DFD" w:rsidRPr="00B57B6A">
        <w:rPr>
          <w:rFonts w:ascii="Times New Roman" w:hAnsi="Times New Roman" w:cs="Times New Roman"/>
          <w:sz w:val="24"/>
          <w:szCs w:val="24"/>
        </w:rPr>
        <w:t xml:space="preserve"> long-term institutionalization</w:t>
      </w:r>
      <w:r w:rsidR="00BF530D" w:rsidRPr="00B57B6A">
        <w:rPr>
          <w:rFonts w:ascii="Times New Roman" w:hAnsi="Times New Roman" w:cs="Times New Roman"/>
          <w:sz w:val="24"/>
          <w:szCs w:val="24"/>
        </w:rPr>
        <w:t xml:space="preserve"> and has other important provisions</w:t>
      </w:r>
      <w:r w:rsidR="004700C6" w:rsidRPr="00B57B6A">
        <w:rPr>
          <w:rFonts w:ascii="Times New Roman" w:hAnsi="Times New Roman" w:cs="Times New Roman"/>
          <w:sz w:val="24"/>
          <w:szCs w:val="24"/>
        </w:rPr>
        <w:t xml:space="preserve"> requiring </w:t>
      </w:r>
      <w:r w:rsidR="004700C6" w:rsidRPr="00B57B6A">
        <w:rPr>
          <w:rFonts w:ascii="Times New Roman" w:hAnsi="Times New Roman" w:cs="Times New Roman"/>
          <w:sz w:val="24"/>
          <w:szCs w:val="24"/>
        </w:rPr>
        <w:lastRenderedPageBreak/>
        <w:t>governments to ensure that children can grow up with a family</w:t>
      </w:r>
      <w:r w:rsidR="00BF530D" w:rsidRPr="00B57B6A">
        <w:rPr>
          <w:rFonts w:ascii="Times New Roman" w:hAnsi="Times New Roman" w:cs="Times New Roman"/>
          <w:sz w:val="24"/>
          <w:szCs w:val="24"/>
        </w:rPr>
        <w:t xml:space="preserve">.  </w:t>
      </w:r>
      <w:r w:rsidR="00012DFD" w:rsidRPr="00B57B6A">
        <w:rPr>
          <w:rFonts w:ascii="Times New Roman" w:hAnsi="Times New Roman" w:cs="Times New Roman"/>
          <w:sz w:val="24"/>
          <w:szCs w:val="24"/>
        </w:rPr>
        <w:t>The General Comment say</w:t>
      </w:r>
      <w:r w:rsidR="00BF530D" w:rsidRPr="00B57B6A">
        <w:rPr>
          <w:rFonts w:ascii="Times New Roman" w:hAnsi="Times New Roman" w:cs="Times New Roman"/>
          <w:sz w:val="24"/>
          <w:szCs w:val="24"/>
        </w:rPr>
        <w:t>s</w:t>
      </w:r>
      <w:r w:rsidR="00012DFD" w:rsidRPr="00B57B6A">
        <w:rPr>
          <w:rFonts w:ascii="Times New Roman" w:hAnsi="Times New Roman" w:cs="Times New Roman"/>
          <w:sz w:val="24"/>
          <w:szCs w:val="24"/>
        </w:rPr>
        <w:t xml:space="preserve"> that States parties are “urged to set up programmes for de-institutionalization of children with disabilities, re-placing them with their families, extended families or foster-care system. Parents and other extended family members should be provided with the necessary and systematic support/training for including their child back in their home environment.”</w:t>
      </w:r>
      <w:r w:rsidR="00012DFD" w:rsidRPr="00B57B6A">
        <w:rPr>
          <w:rStyle w:val="FootnoteReference"/>
          <w:rFonts w:ascii="Times New Roman" w:hAnsi="Times New Roman" w:cs="Times New Roman"/>
          <w:sz w:val="24"/>
          <w:szCs w:val="24"/>
        </w:rPr>
        <w:footnoteReference w:id="151"/>
      </w:r>
      <w:r w:rsidR="00012DFD" w:rsidRPr="00B57B6A">
        <w:rPr>
          <w:rFonts w:ascii="Times New Roman" w:hAnsi="Times New Roman" w:cs="Times New Roman"/>
          <w:sz w:val="24"/>
          <w:szCs w:val="24"/>
        </w:rPr>
        <w:t xml:space="preserve"> Like CRPD </w:t>
      </w:r>
      <w:r w:rsidR="00903ED1" w:rsidRPr="00B57B6A">
        <w:rPr>
          <w:rFonts w:ascii="Times New Roman" w:hAnsi="Times New Roman" w:cs="Times New Roman"/>
          <w:sz w:val="24"/>
          <w:szCs w:val="24"/>
        </w:rPr>
        <w:t>A</w:t>
      </w:r>
      <w:r w:rsidR="00012DFD" w:rsidRPr="00B57B6A">
        <w:rPr>
          <w:rFonts w:ascii="Times New Roman" w:hAnsi="Times New Roman" w:cs="Times New Roman"/>
          <w:sz w:val="24"/>
          <w:szCs w:val="24"/>
        </w:rPr>
        <w:t>rt. 23, this provision of General Comment</w:t>
      </w:r>
      <w:r w:rsidR="00BF530D" w:rsidRPr="00B57B6A">
        <w:rPr>
          <w:rFonts w:ascii="Times New Roman" w:hAnsi="Times New Roman" w:cs="Times New Roman"/>
          <w:sz w:val="24"/>
          <w:szCs w:val="24"/>
        </w:rPr>
        <w:t xml:space="preserve"> #9 </w:t>
      </w:r>
      <w:r w:rsidR="00012DFD" w:rsidRPr="00B57B6A">
        <w:rPr>
          <w:rFonts w:ascii="Times New Roman" w:hAnsi="Times New Roman" w:cs="Times New Roman"/>
          <w:sz w:val="24"/>
          <w:szCs w:val="24"/>
        </w:rPr>
        <w:t>mentions only family alternatives to institutions.</w:t>
      </w:r>
      <w:r w:rsidR="0066171B" w:rsidRPr="00B57B6A">
        <w:rPr>
          <w:rFonts w:ascii="Times New Roman" w:hAnsi="Times New Roman" w:cs="Times New Roman"/>
          <w:sz w:val="24"/>
          <w:szCs w:val="24"/>
        </w:rPr>
        <w:t xml:space="preserve"> </w:t>
      </w:r>
    </w:p>
    <w:p w14:paraId="15BCD7DF" w14:textId="7656AC32" w:rsidR="00C73E5A" w:rsidRPr="00B57B6A" w:rsidRDefault="007D00F2" w:rsidP="00EB136D">
      <w:pPr>
        <w:pStyle w:val="Heading2"/>
        <w:numPr>
          <w:ilvl w:val="0"/>
          <w:numId w:val="27"/>
        </w:numPr>
        <w:spacing w:line="240" w:lineRule="auto"/>
        <w:rPr>
          <w:rFonts w:ascii="Times New Roman" w:hAnsi="Times New Roman" w:cs="Times New Roman"/>
          <w:sz w:val="24"/>
          <w:szCs w:val="24"/>
        </w:rPr>
      </w:pPr>
      <w:bookmarkStart w:id="61" w:name="_Toc471468479"/>
      <w:r w:rsidRPr="00B57B6A">
        <w:rPr>
          <w:rFonts w:ascii="Times New Roman" w:hAnsi="Times New Roman" w:cs="Times New Roman"/>
          <w:sz w:val="24"/>
          <w:szCs w:val="24"/>
        </w:rPr>
        <w:t>L</w:t>
      </w:r>
      <w:r w:rsidR="00C73E5A" w:rsidRPr="00B57B6A">
        <w:rPr>
          <w:rFonts w:ascii="Times New Roman" w:hAnsi="Times New Roman" w:cs="Times New Roman"/>
          <w:sz w:val="24"/>
          <w:szCs w:val="24"/>
        </w:rPr>
        <w:t>east restrictive environment: the problem of group homes</w:t>
      </w:r>
      <w:bookmarkEnd w:id="61"/>
    </w:p>
    <w:p w14:paraId="7BA87A77" w14:textId="78F0E1EE" w:rsidR="008D1710" w:rsidRPr="00B57B6A" w:rsidRDefault="007D00F2"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final element of the</w:t>
      </w:r>
      <w:r w:rsidR="00ED46EF">
        <w:rPr>
          <w:rFonts w:ascii="Times New Roman" w:hAnsi="Times New Roman" w:cs="Times New Roman"/>
          <w:sz w:val="24"/>
          <w:szCs w:val="24"/>
        </w:rPr>
        <w:t xml:space="preserve"> Torture Standard</w:t>
      </w:r>
      <w:r w:rsidR="00CD52B2">
        <w:rPr>
          <w:rFonts w:ascii="Times New Roman" w:hAnsi="Times New Roman" w:cs="Times New Roman"/>
          <w:sz w:val="24"/>
          <w:szCs w:val="24"/>
        </w:rPr>
        <w:t xml:space="preserve"> </w:t>
      </w:r>
      <w:r w:rsidRPr="00B57B6A">
        <w:rPr>
          <w:rFonts w:ascii="Times New Roman" w:hAnsi="Times New Roman" w:cs="Times New Roman"/>
          <w:sz w:val="24"/>
          <w:szCs w:val="24"/>
        </w:rPr>
        <w:t>is the requirement that any placement of a child be in the least restrictive environment.</w:t>
      </w:r>
      <w:r w:rsidR="008D1710" w:rsidRPr="00B57B6A">
        <w:rPr>
          <w:rFonts w:ascii="Times New Roman" w:hAnsi="Times New Roman" w:cs="Times New Roman"/>
          <w:sz w:val="24"/>
          <w:szCs w:val="24"/>
        </w:rPr>
        <w:t xml:space="preserve"> Further guidance from the Special Rapporteur on Torture and social service experts would be helpful to determine exactly what kind of placement would be acceptable for specific children and particular ages. There is consensus, as reflected in the Guidelines for Alternative Care, that group homes for children under age 3 are never acceptable. Yet there is growing controversy about the acceptability of group homes for older children – or even adolescents. </w:t>
      </w:r>
      <w:r w:rsidR="00C73E5A" w:rsidRPr="00B57B6A">
        <w:rPr>
          <w:rFonts w:ascii="Times New Roman" w:hAnsi="Times New Roman" w:cs="Times New Roman"/>
          <w:sz w:val="24"/>
          <w:szCs w:val="24"/>
        </w:rPr>
        <w:t>It is beyond the sco</w:t>
      </w:r>
      <w:r w:rsidR="008D1710" w:rsidRPr="00B57B6A">
        <w:rPr>
          <w:rFonts w:ascii="Times New Roman" w:hAnsi="Times New Roman" w:cs="Times New Roman"/>
          <w:sz w:val="24"/>
          <w:szCs w:val="24"/>
        </w:rPr>
        <w:t xml:space="preserve">pe of this </w:t>
      </w:r>
      <w:r w:rsidR="003E55E1">
        <w:rPr>
          <w:rFonts w:ascii="Times New Roman" w:hAnsi="Times New Roman" w:cs="Times New Roman"/>
          <w:sz w:val="24"/>
          <w:szCs w:val="24"/>
        </w:rPr>
        <w:t xml:space="preserve">paper to resolve these issues. </w:t>
      </w:r>
      <w:r w:rsidR="00C73E5A" w:rsidRPr="00B57B6A">
        <w:rPr>
          <w:rFonts w:ascii="Times New Roman" w:hAnsi="Times New Roman" w:cs="Times New Roman"/>
          <w:sz w:val="24"/>
          <w:szCs w:val="24"/>
        </w:rPr>
        <w:t>But the requirement that children be placed in the “least restricti</w:t>
      </w:r>
      <w:r w:rsidR="008D1710" w:rsidRPr="00B57B6A">
        <w:rPr>
          <w:rFonts w:ascii="Times New Roman" w:hAnsi="Times New Roman" w:cs="Times New Roman"/>
          <w:sz w:val="24"/>
          <w:szCs w:val="24"/>
        </w:rPr>
        <w:t>ve environment” raises the</w:t>
      </w:r>
      <w:r w:rsidR="00C73E5A" w:rsidRPr="00B57B6A">
        <w:rPr>
          <w:rFonts w:ascii="Times New Roman" w:hAnsi="Times New Roman" w:cs="Times New Roman"/>
          <w:sz w:val="24"/>
          <w:szCs w:val="24"/>
        </w:rPr>
        <w:t xml:space="preserve"> question </w:t>
      </w:r>
      <w:r w:rsidR="008D1710" w:rsidRPr="00B57B6A">
        <w:rPr>
          <w:rFonts w:ascii="Times New Roman" w:hAnsi="Times New Roman" w:cs="Times New Roman"/>
          <w:sz w:val="24"/>
          <w:szCs w:val="24"/>
        </w:rPr>
        <w:t xml:space="preserve">as to whether </w:t>
      </w:r>
      <w:r w:rsidR="00C73E5A" w:rsidRPr="00B57B6A">
        <w:rPr>
          <w:rFonts w:ascii="Times New Roman" w:hAnsi="Times New Roman" w:cs="Times New Roman"/>
          <w:sz w:val="24"/>
          <w:szCs w:val="24"/>
        </w:rPr>
        <w:t>the use of group homes</w:t>
      </w:r>
      <w:r w:rsidR="00D22371" w:rsidRPr="00B57B6A">
        <w:rPr>
          <w:rFonts w:ascii="Times New Roman" w:hAnsi="Times New Roman" w:cs="Times New Roman"/>
          <w:sz w:val="24"/>
          <w:szCs w:val="24"/>
        </w:rPr>
        <w:t xml:space="preserve"> </w:t>
      </w:r>
      <w:r w:rsidR="008D1710" w:rsidRPr="00B57B6A">
        <w:rPr>
          <w:rFonts w:ascii="Times New Roman" w:hAnsi="Times New Roman" w:cs="Times New Roman"/>
          <w:sz w:val="24"/>
          <w:szCs w:val="24"/>
        </w:rPr>
        <w:t>violate</w:t>
      </w:r>
      <w:r w:rsidR="00D22371" w:rsidRPr="00B57B6A">
        <w:rPr>
          <w:rFonts w:ascii="Times New Roman" w:hAnsi="Times New Roman" w:cs="Times New Roman"/>
          <w:sz w:val="24"/>
          <w:szCs w:val="24"/>
        </w:rPr>
        <w:t>s</w:t>
      </w:r>
      <w:r w:rsidR="008D1710" w:rsidRPr="00B57B6A">
        <w:rPr>
          <w:rFonts w:ascii="Times New Roman" w:hAnsi="Times New Roman" w:cs="Times New Roman"/>
          <w:sz w:val="24"/>
          <w:szCs w:val="24"/>
        </w:rPr>
        <w:t xml:space="preserve"> the</w:t>
      </w:r>
      <w:r w:rsidR="008C34CE">
        <w:rPr>
          <w:rFonts w:ascii="Times New Roman" w:hAnsi="Times New Roman" w:cs="Times New Roman"/>
          <w:sz w:val="24"/>
          <w:szCs w:val="24"/>
        </w:rPr>
        <w:t xml:space="preserve"> </w:t>
      </w:r>
      <w:r w:rsidR="00ED46EF">
        <w:rPr>
          <w:rFonts w:ascii="Times New Roman" w:hAnsi="Times New Roman" w:cs="Times New Roman"/>
          <w:sz w:val="24"/>
          <w:szCs w:val="24"/>
        </w:rPr>
        <w:t>Torture Standard</w:t>
      </w:r>
      <w:r w:rsidR="008D1710" w:rsidRPr="00B57B6A">
        <w:rPr>
          <w:rFonts w:ascii="Times New Roman" w:hAnsi="Times New Roman" w:cs="Times New Roman"/>
          <w:sz w:val="24"/>
          <w:szCs w:val="24"/>
        </w:rPr>
        <w:t xml:space="preserve">. </w:t>
      </w:r>
      <w:r w:rsidR="0066171B" w:rsidRPr="00B57B6A">
        <w:rPr>
          <w:rFonts w:ascii="Times New Roman" w:hAnsi="Times New Roman" w:cs="Times New Roman"/>
          <w:sz w:val="24"/>
          <w:szCs w:val="24"/>
        </w:rPr>
        <w:t xml:space="preserve"> </w:t>
      </w:r>
    </w:p>
    <w:p w14:paraId="125737FF" w14:textId="0D7E533D" w:rsidR="00240737" w:rsidRPr="00B57B6A" w:rsidRDefault="0024073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Group homes were once viewed as “the best alternative to institutionalization.”</w:t>
      </w:r>
      <w:bookmarkStart w:id="62" w:name="_Ref466968444"/>
      <w:r w:rsidRPr="00B57B6A">
        <w:rPr>
          <w:rFonts w:ascii="Times New Roman" w:hAnsi="Times New Roman" w:cs="Times New Roman"/>
          <w:sz w:val="24"/>
          <w:szCs w:val="24"/>
          <w:vertAlign w:val="superscript"/>
        </w:rPr>
        <w:footnoteReference w:id="152"/>
      </w:r>
      <w:bookmarkEnd w:id="62"/>
      <w:r w:rsidR="00462B69"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But group homes proved not to be “family-like” because staff changes over time, conditions may become regimented, and numbers can be increased for the convenience of authorities. </w:t>
      </w:r>
      <w:r w:rsidR="00CD52B2">
        <w:rPr>
          <w:rFonts w:ascii="Times New Roman" w:hAnsi="Times New Roman" w:cs="Times New Roman"/>
          <w:sz w:val="24"/>
          <w:szCs w:val="24"/>
        </w:rPr>
        <w:t>S</w:t>
      </w:r>
      <w:r w:rsidRPr="00B57B6A">
        <w:rPr>
          <w:rFonts w:ascii="Times New Roman" w:hAnsi="Times New Roman" w:cs="Times New Roman"/>
          <w:sz w:val="24"/>
          <w:szCs w:val="24"/>
        </w:rPr>
        <w:t xml:space="preserve">tudies </w:t>
      </w:r>
      <w:r w:rsidR="00CD52B2">
        <w:rPr>
          <w:rFonts w:ascii="Times New Roman" w:hAnsi="Times New Roman" w:cs="Times New Roman"/>
          <w:sz w:val="24"/>
          <w:szCs w:val="24"/>
        </w:rPr>
        <w:t>of</w:t>
      </w:r>
      <w:r w:rsidRPr="00B57B6A">
        <w:rPr>
          <w:rFonts w:ascii="Times New Roman" w:hAnsi="Times New Roman" w:cs="Times New Roman"/>
          <w:sz w:val="24"/>
          <w:szCs w:val="24"/>
        </w:rPr>
        <w:t xml:space="preserve"> the populat</w:t>
      </w:r>
      <w:r w:rsidR="001A3CF6">
        <w:rPr>
          <w:rFonts w:ascii="Times New Roman" w:hAnsi="Times New Roman" w:cs="Times New Roman"/>
          <w:sz w:val="24"/>
          <w:szCs w:val="24"/>
        </w:rPr>
        <w:t>ion moved out of the Pennhurst I</w:t>
      </w:r>
      <w:r w:rsidRPr="00B57B6A">
        <w:rPr>
          <w:rFonts w:ascii="Times New Roman" w:hAnsi="Times New Roman" w:cs="Times New Roman"/>
          <w:sz w:val="24"/>
          <w:szCs w:val="24"/>
        </w:rPr>
        <w:t xml:space="preserve">nstitution </w:t>
      </w:r>
      <w:r w:rsidR="007F1485">
        <w:rPr>
          <w:rFonts w:ascii="Times New Roman" w:hAnsi="Times New Roman" w:cs="Times New Roman"/>
          <w:sz w:val="24"/>
          <w:szCs w:val="24"/>
        </w:rPr>
        <w:t>have demonstrated</w:t>
      </w:r>
      <w:r w:rsidRPr="00B57B6A">
        <w:rPr>
          <w:rFonts w:ascii="Times New Roman" w:hAnsi="Times New Roman" w:cs="Times New Roman"/>
          <w:sz w:val="24"/>
          <w:szCs w:val="24"/>
        </w:rPr>
        <w:t xml:space="preserve"> that smaller group homes produced better outcomes.</w:t>
      </w:r>
      <w:r w:rsidR="00305C2E" w:rsidRPr="00B57B6A">
        <w:rPr>
          <w:rStyle w:val="FootnoteReference"/>
          <w:rFonts w:ascii="Times New Roman" w:hAnsi="Times New Roman" w:cs="Times New Roman"/>
          <w:sz w:val="24"/>
          <w:szCs w:val="24"/>
        </w:rPr>
        <w:footnoteReference w:id="153"/>
      </w:r>
      <w:r w:rsidRPr="00B57B6A">
        <w:rPr>
          <w:rFonts w:ascii="Times New Roman" w:hAnsi="Times New Roman" w:cs="Times New Roman"/>
          <w:sz w:val="24"/>
          <w:szCs w:val="24"/>
        </w:rPr>
        <w:t xml:space="preserve"> But the inherent limitations of group homes remain. Describing the US experience with deinstitutionalization of faci</w:t>
      </w:r>
      <w:r w:rsidR="008D1710" w:rsidRPr="00B57B6A">
        <w:rPr>
          <w:rFonts w:ascii="Times New Roman" w:hAnsi="Times New Roman" w:cs="Times New Roman"/>
          <w:sz w:val="24"/>
          <w:szCs w:val="24"/>
        </w:rPr>
        <w:t>lities for adults</w:t>
      </w:r>
      <w:r w:rsidRPr="00B57B6A">
        <w:rPr>
          <w:rFonts w:ascii="Times New Roman" w:hAnsi="Times New Roman" w:cs="Times New Roman"/>
          <w:sz w:val="24"/>
          <w:szCs w:val="24"/>
        </w:rPr>
        <w:t xml:space="preserve"> with mental disabilities, Professor Arlene Kanter writes:</w:t>
      </w:r>
    </w:p>
    <w:p w14:paraId="370BD9B9" w14:textId="62011449" w:rsidR="00240737" w:rsidRPr="00B57B6A" w:rsidRDefault="00240737" w:rsidP="00B57B6A">
      <w:pPr>
        <w:spacing w:after="0"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Group homes, halfway houses, quarterway houses, and board and care homes are hardly “homes” at all. Like institutions, they segregate people with disabilities and confine them with little, if any, individual choice.</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The residents of such homes are seldom asked where or with whom they want to live….The places where people with mental disabilities have lived are called “congregate living facilities,” “community residences,” “residential living environments,” “community living arrangements.” And “community care facilities.”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Noticeably absent in these varied descriptions is the simple word “home.”</w:t>
      </w:r>
      <w:r w:rsidRPr="00B57B6A">
        <w:rPr>
          <w:rFonts w:ascii="Times New Roman" w:hAnsi="Times New Roman" w:cs="Times New Roman"/>
          <w:sz w:val="24"/>
          <w:szCs w:val="24"/>
          <w:vertAlign w:val="superscript"/>
        </w:rPr>
        <w:footnoteReference w:id="154"/>
      </w:r>
    </w:p>
    <w:p w14:paraId="7796BC8D" w14:textId="77777777" w:rsidR="00C7588D" w:rsidRPr="00B57B6A" w:rsidRDefault="00C7588D" w:rsidP="00B57B6A">
      <w:pPr>
        <w:spacing w:after="0" w:line="240" w:lineRule="auto"/>
        <w:ind w:left="720" w:right="720"/>
        <w:jc w:val="both"/>
        <w:rPr>
          <w:rFonts w:ascii="Times New Roman" w:hAnsi="Times New Roman" w:cs="Times New Roman"/>
          <w:sz w:val="24"/>
          <w:szCs w:val="24"/>
        </w:rPr>
      </w:pPr>
    </w:p>
    <w:p w14:paraId="7C941149" w14:textId="5132EAEA" w:rsidR="00C73E5A" w:rsidRPr="00B57B6A" w:rsidRDefault="0024073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Problematic as they are for adults, group homes are even more inappropriate for children. The essential emotional support that children need is to live in a family where they can form long-term emotional attachments.</w:t>
      </w:r>
      <w:r w:rsidRPr="00B57B6A">
        <w:rPr>
          <w:rFonts w:ascii="Times New Roman" w:hAnsi="Times New Roman" w:cs="Times New Roman"/>
          <w:sz w:val="24"/>
          <w:szCs w:val="24"/>
          <w:vertAlign w:val="superscript"/>
        </w:rPr>
        <w:t xml:space="preserve"> </w:t>
      </w:r>
      <w:bookmarkStart w:id="63" w:name="_Ref471400902"/>
      <w:r w:rsidRPr="00B57B6A">
        <w:rPr>
          <w:rFonts w:ascii="Times New Roman" w:hAnsi="Times New Roman" w:cs="Times New Roman"/>
          <w:sz w:val="24"/>
          <w:szCs w:val="24"/>
          <w:vertAlign w:val="superscript"/>
        </w:rPr>
        <w:footnoteReference w:id="155"/>
      </w:r>
      <w:bookmarkEnd w:id="63"/>
      <w:r w:rsidR="0066171B" w:rsidRPr="00B57B6A">
        <w:rPr>
          <w:rFonts w:ascii="Times New Roman" w:hAnsi="Times New Roman" w:cs="Times New Roman"/>
          <w:sz w:val="24"/>
          <w:szCs w:val="24"/>
        </w:rPr>
        <w:t xml:space="preserve"> </w:t>
      </w:r>
    </w:p>
    <w:p w14:paraId="7DDA2DC8" w14:textId="6FAD648D" w:rsidR="00C73E5A" w:rsidRPr="00B57B6A" w:rsidRDefault="00D22371"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w:t>
      </w:r>
      <w:r w:rsidR="00240737" w:rsidRPr="00B57B6A">
        <w:rPr>
          <w:rFonts w:ascii="Times New Roman" w:hAnsi="Times New Roman" w:cs="Times New Roman"/>
          <w:sz w:val="24"/>
          <w:szCs w:val="24"/>
        </w:rPr>
        <w:t xml:space="preserve">Guidelines </w:t>
      </w:r>
      <w:r w:rsidRPr="00B57B6A">
        <w:rPr>
          <w:rFonts w:ascii="Times New Roman" w:hAnsi="Times New Roman" w:cs="Times New Roman"/>
          <w:sz w:val="24"/>
          <w:szCs w:val="24"/>
        </w:rPr>
        <w:t>for Alternative Care prohibit</w:t>
      </w:r>
      <w:r w:rsidR="00C73E5A" w:rsidRPr="00B57B6A">
        <w:rPr>
          <w:rFonts w:ascii="Times New Roman" w:hAnsi="Times New Roman" w:cs="Times New Roman"/>
          <w:sz w:val="24"/>
          <w:szCs w:val="24"/>
        </w:rPr>
        <w:t xml:space="preserve"> the use of group homes for children</w:t>
      </w:r>
      <w:r w:rsidRPr="00B57B6A">
        <w:rPr>
          <w:rFonts w:ascii="Times New Roman" w:hAnsi="Times New Roman" w:cs="Times New Roman"/>
          <w:sz w:val="24"/>
          <w:szCs w:val="24"/>
        </w:rPr>
        <w:t xml:space="preserve"> under age three,</w:t>
      </w:r>
      <w:r w:rsidR="00C73E5A"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requiring instead that young children be placed </w:t>
      </w:r>
      <w:r w:rsidR="00240737" w:rsidRPr="00B57B6A">
        <w:rPr>
          <w:rFonts w:ascii="Times New Roman" w:hAnsi="Times New Roman" w:cs="Times New Roman"/>
          <w:sz w:val="24"/>
          <w:szCs w:val="24"/>
        </w:rPr>
        <w:t xml:space="preserve">with </w:t>
      </w:r>
      <w:r w:rsidR="00C73E5A" w:rsidRPr="00B57B6A">
        <w:rPr>
          <w:rFonts w:ascii="Times New Roman" w:hAnsi="Times New Roman" w:cs="Times New Roman"/>
          <w:sz w:val="24"/>
          <w:szCs w:val="24"/>
        </w:rPr>
        <w:t xml:space="preserve">a family. </w:t>
      </w:r>
      <w:r w:rsidRPr="00B57B6A">
        <w:rPr>
          <w:rFonts w:ascii="Times New Roman" w:hAnsi="Times New Roman" w:cs="Times New Roman"/>
          <w:sz w:val="24"/>
          <w:szCs w:val="24"/>
        </w:rPr>
        <w:t xml:space="preserve">Valuable as this provision is for </w:t>
      </w:r>
      <w:r w:rsidR="00C73E5A" w:rsidRPr="00B57B6A">
        <w:rPr>
          <w:rFonts w:ascii="Times New Roman" w:hAnsi="Times New Roman" w:cs="Times New Roman"/>
          <w:sz w:val="24"/>
          <w:szCs w:val="24"/>
        </w:rPr>
        <w:t xml:space="preserve">the youngest children, </w:t>
      </w:r>
      <w:r w:rsidR="00240737" w:rsidRPr="00B57B6A">
        <w:rPr>
          <w:rFonts w:ascii="Times New Roman" w:hAnsi="Times New Roman" w:cs="Times New Roman"/>
          <w:sz w:val="24"/>
          <w:szCs w:val="24"/>
        </w:rPr>
        <w:t>research has shown that living in a family is also essential for older children and adolescents.</w:t>
      </w:r>
      <w:r w:rsidR="00240737" w:rsidRPr="00B57B6A">
        <w:rPr>
          <w:rFonts w:ascii="Times New Roman" w:hAnsi="Times New Roman" w:cs="Times New Roman"/>
          <w:sz w:val="24"/>
          <w:szCs w:val="24"/>
          <w:vertAlign w:val="superscript"/>
        </w:rPr>
        <w:footnoteReference w:id="156"/>
      </w:r>
      <w:r w:rsidR="0066171B" w:rsidRPr="00B57B6A">
        <w:rPr>
          <w:rFonts w:ascii="Times New Roman" w:hAnsi="Times New Roman" w:cs="Times New Roman"/>
          <w:sz w:val="24"/>
          <w:szCs w:val="24"/>
        </w:rPr>
        <w:t xml:space="preserve"> </w:t>
      </w:r>
    </w:p>
    <w:p w14:paraId="11550409" w14:textId="5D9F8E99" w:rsidR="00C73E5A" w:rsidRPr="00B57B6A" w:rsidRDefault="00C73E5A"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Some professional</w:t>
      </w:r>
      <w:r w:rsidR="00903ED1" w:rsidRPr="00B57B6A">
        <w:rPr>
          <w:rFonts w:ascii="Times New Roman" w:hAnsi="Times New Roman" w:cs="Times New Roman"/>
          <w:sz w:val="24"/>
          <w:szCs w:val="24"/>
        </w:rPr>
        <w:t>s</w:t>
      </w:r>
      <w:r w:rsidRPr="00B57B6A">
        <w:rPr>
          <w:rFonts w:ascii="Times New Roman" w:hAnsi="Times New Roman" w:cs="Times New Roman"/>
          <w:sz w:val="24"/>
          <w:szCs w:val="24"/>
        </w:rPr>
        <w:t xml:space="preserve"> recognize</w:t>
      </w:r>
      <w:r w:rsidR="00E0017E">
        <w:rPr>
          <w:rFonts w:ascii="Times New Roman" w:hAnsi="Times New Roman" w:cs="Times New Roman"/>
          <w:sz w:val="24"/>
          <w:szCs w:val="24"/>
        </w:rPr>
        <w:t xml:space="preserve"> that</w:t>
      </w:r>
      <w:r w:rsidRPr="00B57B6A">
        <w:rPr>
          <w:rFonts w:ascii="Times New Roman" w:hAnsi="Times New Roman" w:cs="Times New Roman"/>
          <w:sz w:val="24"/>
          <w:szCs w:val="24"/>
        </w:rPr>
        <w:t xml:space="preserve"> group care </w:t>
      </w:r>
      <w:r w:rsidR="00903ED1" w:rsidRPr="00B57B6A">
        <w:rPr>
          <w:rFonts w:ascii="Times New Roman" w:hAnsi="Times New Roman" w:cs="Times New Roman"/>
          <w:sz w:val="24"/>
          <w:szCs w:val="24"/>
        </w:rPr>
        <w:t xml:space="preserve">is </w:t>
      </w:r>
      <w:r w:rsidR="00240737" w:rsidRPr="00B57B6A">
        <w:rPr>
          <w:rFonts w:ascii="Times New Roman" w:hAnsi="Times New Roman" w:cs="Times New Roman"/>
          <w:sz w:val="24"/>
          <w:szCs w:val="24"/>
        </w:rPr>
        <w:t>a valuable short-term placement “as a respite, ‘cooling off’ period, or a time-limited therapeutic intervention with specific goals</w:t>
      </w:r>
      <w:r w:rsidRPr="00B57B6A">
        <w:rPr>
          <w:rFonts w:ascii="Times New Roman" w:hAnsi="Times New Roman" w:cs="Times New Roman"/>
          <w:sz w:val="24"/>
          <w:szCs w:val="24"/>
        </w:rPr>
        <w:t>.</w:t>
      </w:r>
      <w:r w:rsidR="00240737" w:rsidRPr="00B57B6A">
        <w:rPr>
          <w:rFonts w:ascii="Times New Roman" w:hAnsi="Times New Roman" w:cs="Times New Roman"/>
          <w:sz w:val="24"/>
          <w:szCs w:val="24"/>
        </w:rPr>
        <w:t>”</w:t>
      </w:r>
      <w:r w:rsidR="00881226" w:rsidRPr="00B57B6A">
        <w:rPr>
          <w:rFonts w:ascii="Times New Roman" w:hAnsi="Times New Roman" w:cs="Times New Roman"/>
          <w:sz w:val="24"/>
          <w:szCs w:val="24"/>
          <w:vertAlign w:val="superscript"/>
        </w:rPr>
        <w:t xml:space="preserve"> </w:t>
      </w:r>
      <w:r w:rsidR="00881226" w:rsidRPr="00B57B6A">
        <w:rPr>
          <w:rFonts w:ascii="Times New Roman" w:hAnsi="Times New Roman" w:cs="Times New Roman"/>
          <w:sz w:val="24"/>
          <w:szCs w:val="24"/>
          <w:vertAlign w:val="superscript"/>
        </w:rPr>
        <w:footnoteReference w:id="157"/>
      </w:r>
      <w:r w:rsidR="00881226" w:rsidRPr="00B57B6A">
        <w:rPr>
          <w:rFonts w:ascii="Times New Roman" w:hAnsi="Times New Roman" w:cs="Times New Roman"/>
          <w:sz w:val="24"/>
          <w:szCs w:val="24"/>
        </w:rPr>
        <w:t xml:space="preserve"> </w:t>
      </w:r>
      <w:r w:rsidR="00240737" w:rsidRPr="00B57B6A">
        <w:rPr>
          <w:rFonts w:ascii="Times New Roman" w:hAnsi="Times New Roman" w:cs="Times New Roman"/>
          <w:sz w:val="24"/>
          <w:szCs w:val="24"/>
        </w:rPr>
        <w:t xml:space="preserve"> </w:t>
      </w:r>
      <w:r w:rsidRPr="00B57B6A">
        <w:rPr>
          <w:rFonts w:ascii="Times New Roman" w:hAnsi="Times New Roman" w:cs="Times New Roman"/>
          <w:sz w:val="24"/>
          <w:szCs w:val="24"/>
        </w:rPr>
        <w:t>But</w:t>
      </w:r>
      <w:r w:rsidR="00881226" w:rsidRPr="00B57B6A">
        <w:rPr>
          <w:rFonts w:ascii="Times New Roman" w:hAnsi="Times New Roman" w:cs="Times New Roman"/>
          <w:sz w:val="24"/>
          <w:szCs w:val="24"/>
        </w:rPr>
        <w:t xml:space="preserve"> these</w:t>
      </w:r>
      <w:r w:rsidRPr="00B57B6A">
        <w:rPr>
          <w:rFonts w:ascii="Times New Roman" w:hAnsi="Times New Roman" w:cs="Times New Roman"/>
          <w:sz w:val="24"/>
          <w:szCs w:val="24"/>
        </w:rPr>
        <w:t xml:space="preserve"> professionals also believe that</w:t>
      </w:r>
      <w:r w:rsidR="00881226" w:rsidRPr="00B57B6A">
        <w:rPr>
          <w:rFonts w:ascii="Times New Roman" w:hAnsi="Times New Roman" w:cs="Times New Roman"/>
          <w:sz w:val="24"/>
          <w:szCs w:val="24"/>
        </w:rPr>
        <w:t>, for anything but short-term or transitional placement,</w:t>
      </w:r>
      <w:r w:rsidRPr="00B57B6A">
        <w:rPr>
          <w:rFonts w:ascii="Times New Roman" w:hAnsi="Times New Roman" w:cs="Times New Roman"/>
          <w:sz w:val="24"/>
          <w:szCs w:val="24"/>
        </w:rPr>
        <w:t xml:space="preserve"> </w:t>
      </w:r>
      <w:r w:rsidR="00240737" w:rsidRPr="00B57B6A">
        <w:rPr>
          <w:rFonts w:ascii="Times New Roman" w:hAnsi="Times New Roman" w:cs="Times New Roman"/>
          <w:sz w:val="24"/>
          <w:szCs w:val="24"/>
        </w:rPr>
        <w:t xml:space="preserve">“group care is not an appropriate living arrangement, and it can never substitute for a home environment.” </w:t>
      </w:r>
      <w:r w:rsidR="00881226" w:rsidRPr="00B57B6A">
        <w:rPr>
          <w:rStyle w:val="FootnoteReference"/>
          <w:rFonts w:ascii="Times New Roman" w:hAnsi="Times New Roman" w:cs="Times New Roman"/>
          <w:sz w:val="24"/>
          <w:szCs w:val="24"/>
        </w:rPr>
        <w:footnoteReference w:id="158"/>
      </w:r>
    </w:p>
    <w:p w14:paraId="5CAC6EDD" w14:textId="50975E13" w:rsidR="00240737" w:rsidRPr="00B57B6A" w:rsidRDefault="0024073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Placement in </w:t>
      </w:r>
      <w:r w:rsidR="00D22371" w:rsidRPr="00B57B6A">
        <w:rPr>
          <w:rFonts w:ascii="Times New Roman" w:hAnsi="Times New Roman" w:cs="Times New Roman"/>
          <w:sz w:val="24"/>
          <w:szCs w:val="24"/>
        </w:rPr>
        <w:t>a group home</w:t>
      </w:r>
      <w:r w:rsidRPr="00B57B6A">
        <w:rPr>
          <w:rFonts w:ascii="Times New Roman" w:hAnsi="Times New Roman" w:cs="Times New Roman"/>
          <w:sz w:val="24"/>
          <w:szCs w:val="24"/>
        </w:rPr>
        <w:t xml:space="preserve"> is especially dangerous for children with behavioral problems (as would be expected from children coming from institutions), leading to higher rates of delinquency and criminal activities than </w:t>
      </w:r>
      <w:r w:rsidR="0072477D">
        <w:rPr>
          <w:rFonts w:ascii="Times New Roman" w:hAnsi="Times New Roman" w:cs="Times New Roman"/>
          <w:sz w:val="24"/>
          <w:szCs w:val="24"/>
        </w:rPr>
        <w:t xml:space="preserve">for </w:t>
      </w:r>
      <w:r w:rsidRPr="00B57B6A">
        <w:rPr>
          <w:rFonts w:ascii="Times New Roman" w:hAnsi="Times New Roman" w:cs="Times New Roman"/>
          <w:sz w:val="24"/>
          <w:szCs w:val="24"/>
        </w:rPr>
        <w:t xml:space="preserve">children raised in foster homes. Even </w:t>
      </w:r>
      <w:r w:rsidR="00486E49" w:rsidRPr="00B57B6A">
        <w:rPr>
          <w:rFonts w:ascii="Times New Roman" w:hAnsi="Times New Roman" w:cs="Times New Roman"/>
          <w:sz w:val="24"/>
          <w:szCs w:val="24"/>
        </w:rPr>
        <w:t xml:space="preserve">for young </w:t>
      </w:r>
      <w:r w:rsidRPr="00B57B6A">
        <w:rPr>
          <w:rFonts w:ascii="Times New Roman" w:hAnsi="Times New Roman" w:cs="Times New Roman"/>
          <w:sz w:val="24"/>
          <w:szCs w:val="24"/>
        </w:rPr>
        <w:t>children with no previous behavioral issues or disabilities, however, group homes are likely to lead to attachment disorders.</w:t>
      </w:r>
      <w:bookmarkStart w:id="64" w:name="_Ref339828691"/>
      <w:r w:rsidRPr="00B57B6A">
        <w:rPr>
          <w:rFonts w:ascii="Times New Roman" w:hAnsi="Times New Roman" w:cs="Times New Roman"/>
          <w:sz w:val="24"/>
          <w:szCs w:val="24"/>
          <w:vertAlign w:val="superscript"/>
        </w:rPr>
        <w:footnoteReference w:id="159"/>
      </w:r>
      <w:bookmarkEnd w:id="64"/>
      <w:r w:rsidRPr="00B57B6A">
        <w:rPr>
          <w:rFonts w:ascii="Times New Roman" w:hAnsi="Times New Roman" w:cs="Times New Roman"/>
          <w:sz w:val="24"/>
          <w:szCs w:val="24"/>
        </w:rPr>
        <w:t xml:space="preserve"> Studies from Romania show that even children “placed in small family-like homes with four consistent care-givers” experienced attachment problems.</w:t>
      </w:r>
      <w:r w:rsidRPr="00B57B6A">
        <w:rPr>
          <w:rFonts w:ascii="Times New Roman" w:hAnsi="Times New Roman" w:cs="Times New Roman"/>
          <w:sz w:val="24"/>
          <w:szCs w:val="24"/>
          <w:vertAlign w:val="superscript"/>
        </w:rPr>
        <w:footnoteReference w:id="160"/>
      </w:r>
      <w:r w:rsidRPr="00B57B6A">
        <w:rPr>
          <w:rFonts w:ascii="Times New Roman" w:hAnsi="Times New Roman" w:cs="Times New Roman"/>
          <w:sz w:val="24"/>
          <w:szCs w:val="24"/>
        </w:rPr>
        <w:t xml:space="preserve"> Recent experience has shown that all children can be transferred out of institutions and into families without reliance on group homes – and with much better social and psychological outcomes.</w:t>
      </w:r>
      <w:r w:rsidRPr="00B57B6A">
        <w:rPr>
          <w:rFonts w:ascii="Times New Roman" w:hAnsi="Times New Roman" w:cs="Times New Roman"/>
          <w:sz w:val="24"/>
          <w:szCs w:val="24"/>
          <w:vertAlign w:val="superscript"/>
        </w:rPr>
        <w:footnoteReference w:id="161"/>
      </w:r>
      <w:r w:rsidRPr="00B57B6A">
        <w:rPr>
          <w:rFonts w:ascii="Times New Roman" w:hAnsi="Times New Roman" w:cs="Times New Roman"/>
          <w:sz w:val="24"/>
          <w:szCs w:val="24"/>
        </w:rPr>
        <w:t xml:space="preserve"> </w:t>
      </w:r>
    </w:p>
    <w:p w14:paraId="563EF87E" w14:textId="696AD00B" w:rsidR="00D22371" w:rsidRPr="00B57B6A" w:rsidRDefault="0024073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Writing in </w:t>
      </w:r>
      <w:r w:rsidR="00486E49" w:rsidRPr="00B57B6A">
        <w:rPr>
          <w:rFonts w:ascii="Times New Roman" w:hAnsi="Times New Roman" w:cs="Times New Roman"/>
          <w:sz w:val="24"/>
          <w:szCs w:val="24"/>
        </w:rPr>
        <w:t xml:space="preserve">a </w:t>
      </w:r>
      <w:r w:rsidRPr="00B57B6A">
        <w:rPr>
          <w:rFonts w:ascii="Times New Roman" w:hAnsi="Times New Roman" w:cs="Times New Roman"/>
          <w:sz w:val="24"/>
          <w:szCs w:val="24"/>
        </w:rPr>
        <w:t>2014 consensus statement</w:t>
      </w:r>
      <w:r w:rsidR="008532EB" w:rsidRPr="00B57B6A">
        <w:rPr>
          <w:rFonts w:ascii="Times New Roman" w:hAnsi="Times New Roman" w:cs="Times New Roman"/>
          <w:sz w:val="24"/>
          <w:szCs w:val="24"/>
        </w:rPr>
        <w:t>,</w:t>
      </w:r>
      <w:r w:rsidRPr="00B57B6A">
        <w:rPr>
          <w:rFonts w:ascii="Times New Roman" w:hAnsi="Times New Roman" w:cs="Times New Roman"/>
          <w:sz w:val="24"/>
          <w:szCs w:val="24"/>
        </w:rPr>
        <w:t xml:space="preserve"> </w:t>
      </w:r>
      <w:r w:rsidR="00486E49" w:rsidRPr="00B57B6A">
        <w:rPr>
          <w:rFonts w:ascii="Times New Roman" w:hAnsi="Times New Roman" w:cs="Times New Roman"/>
          <w:sz w:val="24"/>
          <w:szCs w:val="24"/>
        </w:rPr>
        <w:t xml:space="preserve">mental health professionals and researchers </w:t>
      </w:r>
      <w:r w:rsidRPr="00B57B6A">
        <w:rPr>
          <w:rFonts w:ascii="Times New Roman" w:hAnsi="Times New Roman" w:cs="Times New Roman"/>
          <w:sz w:val="24"/>
          <w:szCs w:val="24"/>
        </w:rPr>
        <w:t>from the United States and Europe</w:t>
      </w:r>
      <w:r w:rsidR="008532EB" w:rsidRPr="00B57B6A">
        <w:rPr>
          <w:rFonts w:ascii="Times New Roman" w:hAnsi="Times New Roman" w:cs="Times New Roman"/>
          <w:sz w:val="24"/>
          <w:szCs w:val="24"/>
        </w:rPr>
        <w:t xml:space="preserve"> have raised concerns about </w:t>
      </w:r>
      <w:r w:rsidR="00486E49" w:rsidRPr="00B57B6A">
        <w:rPr>
          <w:rFonts w:ascii="Times New Roman" w:hAnsi="Times New Roman" w:cs="Times New Roman"/>
          <w:sz w:val="24"/>
          <w:szCs w:val="24"/>
        </w:rPr>
        <w:t xml:space="preserve">so-called “residential care” and have challenged </w:t>
      </w:r>
      <w:r w:rsidR="008532EB" w:rsidRPr="00B57B6A">
        <w:rPr>
          <w:rFonts w:ascii="Times New Roman" w:hAnsi="Times New Roman" w:cs="Times New Roman"/>
          <w:sz w:val="24"/>
          <w:szCs w:val="24"/>
        </w:rPr>
        <w:t xml:space="preserve">the position of the </w:t>
      </w:r>
      <w:r w:rsidRPr="00B57B6A">
        <w:rPr>
          <w:rFonts w:ascii="Times New Roman" w:hAnsi="Times New Roman" w:cs="Times New Roman"/>
          <w:sz w:val="24"/>
          <w:szCs w:val="24"/>
        </w:rPr>
        <w:t>Guidelines for Alternative Care that “residential care facilities and family-based care can complement each other.”</w:t>
      </w:r>
      <w:r w:rsidRPr="00B57B6A">
        <w:rPr>
          <w:rFonts w:ascii="Times New Roman" w:hAnsi="Times New Roman" w:cs="Times New Roman"/>
          <w:sz w:val="24"/>
          <w:szCs w:val="24"/>
          <w:vertAlign w:val="superscript"/>
        </w:rPr>
        <w:t xml:space="preserve"> </w:t>
      </w:r>
      <w:r w:rsidRPr="00B57B6A">
        <w:rPr>
          <w:rFonts w:ascii="Times New Roman" w:hAnsi="Times New Roman" w:cs="Times New Roman"/>
          <w:sz w:val="24"/>
          <w:szCs w:val="24"/>
          <w:vertAlign w:val="superscript"/>
        </w:rPr>
        <w:footnoteReference w:id="162"/>
      </w:r>
      <w:r w:rsidRPr="00B57B6A">
        <w:rPr>
          <w:rFonts w:ascii="Times New Roman" w:hAnsi="Times New Roman" w:cs="Times New Roman"/>
          <w:sz w:val="24"/>
          <w:szCs w:val="24"/>
        </w:rPr>
        <w:t xml:space="preserve"> </w:t>
      </w:r>
      <w:r w:rsidR="005D0CE0">
        <w:rPr>
          <w:rFonts w:ascii="Times New Roman" w:hAnsi="Times New Roman" w:cs="Times New Roman"/>
          <w:sz w:val="24"/>
          <w:szCs w:val="24"/>
        </w:rPr>
        <w:t>These experts believe that w</w:t>
      </w:r>
      <w:r w:rsidRPr="00B57B6A">
        <w:rPr>
          <w:rFonts w:ascii="Times New Roman" w:hAnsi="Times New Roman" w:cs="Times New Roman"/>
          <w:sz w:val="24"/>
          <w:szCs w:val="24"/>
        </w:rPr>
        <w:t>hile valuable in their broad support for deinstitutionalization</w:t>
      </w:r>
      <w:r w:rsidR="005D0CE0">
        <w:rPr>
          <w:rFonts w:ascii="Times New Roman" w:hAnsi="Times New Roman" w:cs="Times New Roman"/>
          <w:sz w:val="24"/>
          <w:szCs w:val="24"/>
        </w:rPr>
        <w:t>,</w:t>
      </w:r>
      <w:r w:rsidR="00D5554E">
        <w:rPr>
          <w:rFonts w:ascii="Times New Roman" w:hAnsi="Times New Roman" w:cs="Times New Roman"/>
          <w:sz w:val="24"/>
          <w:szCs w:val="24"/>
        </w:rPr>
        <w:t xml:space="preserve"> </w:t>
      </w:r>
      <w:r w:rsidR="005D0CE0">
        <w:rPr>
          <w:rFonts w:ascii="Times New Roman" w:hAnsi="Times New Roman" w:cs="Times New Roman"/>
          <w:sz w:val="24"/>
          <w:szCs w:val="24"/>
        </w:rPr>
        <w:t>the</w:t>
      </w:r>
      <w:r w:rsidR="00486E49" w:rsidRPr="00B57B6A">
        <w:rPr>
          <w:rFonts w:ascii="Times New Roman" w:hAnsi="Times New Roman" w:cs="Times New Roman"/>
          <w:sz w:val="24"/>
          <w:szCs w:val="24"/>
        </w:rPr>
        <w:t xml:space="preserve"> Guidelines for Alternative Care </w:t>
      </w:r>
      <w:r w:rsidRPr="00B57B6A">
        <w:rPr>
          <w:rFonts w:ascii="Times New Roman" w:hAnsi="Times New Roman" w:cs="Times New Roman"/>
          <w:sz w:val="24"/>
          <w:szCs w:val="24"/>
        </w:rPr>
        <w:t>do not go far enough in calling for full community integration</w:t>
      </w:r>
      <w:r w:rsidR="00486E49" w:rsidRPr="00B57B6A">
        <w:rPr>
          <w:rFonts w:ascii="Times New Roman" w:hAnsi="Times New Roman" w:cs="Times New Roman"/>
          <w:sz w:val="24"/>
          <w:szCs w:val="24"/>
        </w:rPr>
        <w:t xml:space="preserve"> in a family setting</w:t>
      </w:r>
      <w:r w:rsidRPr="00B57B6A">
        <w:rPr>
          <w:rFonts w:ascii="Times New Roman" w:hAnsi="Times New Roman" w:cs="Times New Roman"/>
          <w:sz w:val="24"/>
          <w:szCs w:val="24"/>
        </w:rPr>
        <w:t>:</w:t>
      </w:r>
    </w:p>
    <w:p w14:paraId="71FEBE58" w14:textId="0F7B1AE4" w:rsidR="00240737" w:rsidRPr="00B57B6A" w:rsidRDefault="00240737" w:rsidP="00B57B6A">
      <w:pPr>
        <w:spacing w:after="0"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We assert a stronger position by contending that institutional care is non</w:t>
      </w:r>
      <w:r w:rsidR="00CA732A" w:rsidRPr="00B57B6A">
        <w:rPr>
          <w:rFonts w:ascii="Times New Roman" w:hAnsi="Times New Roman" w:cs="Times New Roman"/>
          <w:sz w:val="24"/>
          <w:szCs w:val="24"/>
        </w:rPr>
        <w:t>-</w:t>
      </w:r>
      <w:r w:rsidRPr="00B57B6A">
        <w:rPr>
          <w:rFonts w:ascii="Times New Roman" w:hAnsi="Times New Roman" w:cs="Times New Roman"/>
          <w:sz w:val="24"/>
          <w:szCs w:val="24"/>
        </w:rPr>
        <w:t>optimal for children of all ages, including teenagers, and that even smaller group care settings can be detrimental to the growth and well-being of youth.</w:t>
      </w:r>
      <w:r w:rsidRPr="00B57B6A">
        <w:rPr>
          <w:rFonts w:ascii="Times New Roman" w:hAnsi="Times New Roman" w:cs="Times New Roman"/>
          <w:sz w:val="24"/>
          <w:szCs w:val="24"/>
          <w:vertAlign w:val="superscript"/>
        </w:rPr>
        <w:footnoteReference w:id="163"/>
      </w:r>
    </w:p>
    <w:p w14:paraId="4F527E4E" w14:textId="77777777" w:rsidR="001B72E7" w:rsidRPr="00B57B6A" w:rsidRDefault="001B72E7" w:rsidP="00B57B6A">
      <w:pPr>
        <w:spacing w:after="0" w:line="240" w:lineRule="auto"/>
        <w:ind w:left="720" w:right="720"/>
        <w:jc w:val="both"/>
        <w:rPr>
          <w:rFonts w:ascii="Times New Roman" w:hAnsi="Times New Roman" w:cs="Times New Roman"/>
          <w:sz w:val="24"/>
          <w:szCs w:val="24"/>
        </w:rPr>
      </w:pPr>
    </w:p>
    <w:p w14:paraId="54D92649" w14:textId="77777777" w:rsidR="00240737" w:rsidRPr="00B57B6A" w:rsidRDefault="0024073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Other professional groups have come to similar conclusions:</w:t>
      </w:r>
    </w:p>
    <w:p w14:paraId="299EA326" w14:textId="32674426" w:rsidR="00240737" w:rsidRPr="00B57B6A" w:rsidRDefault="00240737" w:rsidP="00B57B6A">
      <w:pPr>
        <w:spacing w:after="0"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 xml:space="preserve">The vast majority of research pointed in the same direction. Residential care lacks sufficiently parent-like adult relationships to be </w:t>
      </w:r>
      <w:r w:rsidR="003D7232">
        <w:rPr>
          <w:rFonts w:ascii="Times New Roman" w:hAnsi="Times New Roman" w:cs="Times New Roman"/>
          <w:sz w:val="24"/>
          <w:szCs w:val="24"/>
        </w:rPr>
        <w:t xml:space="preserve">appropriate </w:t>
      </w:r>
      <w:r w:rsidRPr="00B57B6A">
        <w:rPr>
          <w:rFonts w:ascii="Times New Roman" w:hAnsi="Times New Roman" w:cs="Times New Roman"/>
          <w:sz w:val="24"/>
          <w:szCs w:val="24"/>
        </w:rPr>
        <w:t>long-term placements for maltreated children; these facilities also mirror too closely aspects of maltreatment that set children up for life-long developmental challenges.</w:t>
      </w:r>
      <w:r w:rsidRPr="00B57B6A">
        <w:rPr>
          <w:rFonts w:ascii="Times New Roman" w:hAnsi="Times New Roman" w:cs="Times New Roman"/>
          <w:sz w:val="24"/>
          <w:szCs w:val="24"/>
          <w:vertAlign w:val="superscript"/>
        </w:rPr>
        <w:footnoteReference w:id="164"/>
      </w:r>
    </w:p>
    <w:p w14:paraId="6CCC61BC" w14:textId="77777777" w:rsidR="00C7588D" w:rsidRPr="00B57B6A" w:rsidRDefault="00C7588D" w:rsidP="00B57B6A">
      <w:pPr>
        <w:spacing w:after="0" w:line="240" w:lineRule="auto"/>
        <w:ind w:left="720" w:right="720"/>
        <w:jc w:val="both"/>
        <w:rPr>
          <w:rFonts w:ascii="Times New Roman" w:hAnsi="Times New Roman" w:cs="Times New Roman"/>
          <w:sz w:val="24"/>
          <w:szCs w:val="24"/>
        </w:rPr>
      </w:pPr>
    </w:p>
    <w:p w14:paraId="45E5C079" w14:textId="474B1DDB" w:rsidR="00240737" w:rsidRPr="00B57B6A" w:rsidRDefault="0024073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Drawing on the findings from mental health research, European human rights authorities conclude that any congregate settings, regardless of size, fail to meet the requirements of the right to community integration under the CRPD for both children and adults:</w:t>
      </w:r>
    </w:p>
    <w:p w14:paraId="1A15A95E" w14:textId="43668E58" w:rsidR="00240737" w:rsidRPr="00B57B6A" w:rsidRDefault="00240737" w:rsidP="00B57B6A">
      <w:pPr>
        <w:spacing w:after="0"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In as much as there are legal obligations that are</w:t>
      </w:r>
      <w:r w:rsidR="00F121E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to be immediately achieved in article 19, it would perhaps be entirely fair to infer that Article 19 prohibits the construction of new institutions – entities that are not defined exclusively by their size but by their characteristics which can effectively exclude people from meaningful engagement in the community. The fixation on size of an institution is a talisman – i.e. the view that </w:t>
      </w:r>
      <w:r w:rsidR="00903ED1" w:rsidRPr="00B57B6A">
        <w:rPr>
          <w:rFonts w:ascii="Times New Roman" w:hAnsi="Times New Roman" w:cs="Times New Roman"/>
          <w:sz w:val="24"/>
          <w:szCs w:val="24"/>
        </w:rPr>
        <w:t>entities</w:t>
      </w:r>
      <w:r w:rsidRPr="00B57B6A">
        <w:rPr>
          <w:rFonts w:ascii="Times New Roman" w:hAnsi="Times New Roman" w:cs="Times New Roman"/>
          <w:sz w:val="24"/>
          <w:szCs w:val="24"/>
        </w:rPr>
        <w:t xml:space="preserve"> with 2, 5, 10, 15 or 20 or so are unproblematic – seems entirely misplaced. No </w:t>
      </w:r>
      <w:r w:rsidR="00903ED1" w:rsidRPr="00B57B6A">
        <w:rPr>
          <w:rFonts w:ascii="Times New Roman" w:hAnsi="Times New Roman" w:cs="Times New Roman"/>
          <w:sz w:val="24"/>
          <w:szCs w:val="24"/>
        </w:rPr>
        <w:t xml:space="preserve">congregate </w:t>
      </w:r>
      <w:r w:rsidRPr="00B57B6A">
        <w:rPr>
          <w:rFonts w:ascii="Times New Roman" w:hAnsi="Times New Roman" w:cs="Times New Roman"/>
          <w:sz w:val="24"/>
          <w:szCs w:val="24"/>
        </w:rPr>
        <w:t>setting appears conducive to the right to live independently and be included in the community.</w:t>
      </w:r>
      <w:r w:rsidRPr="00B57B6A">
        <w:rPr>
          <w:rFonts w:ascii="Times New Roman" w:hAnsi="Times New Roman" w:cs="Times New Roman"/>
          <w:sz w:val="24"/>
          <w:szCs w:val="24"/>
          <w:vertAlign w:val="superscript"/>
        </w:rPr>
        <w:footnoteReference w:id="165"/>
      </w:r>
    </w:p>
    <w:p w14:paraId="77CE5484" w14:textId="77777777" w:rsidR="00C7588D" w:rsidRPr="00B57B6A" w:rsidRDefault="00C7588D" w:rsidP="00B57B6A">
      <w:pPr>
        <w:spacing w:after="0" w:line="240" w:lineRule="auto"/>
        <w:ind w:left="720" w:right="720"/>
        <w:jc w:val="both"/>
        <w:rPr>
          <w:rFonts w:ascii="Times New Roman" w:hAnsi="Times New Roman" w:cs="Times New Roman"/>
          <w:sz w:val="24"/>
          <w:szCs w:val="24"/>
        </w:rPr>
      </w:pPr>
    </w:p>
    <w:p w14:paraId="39C5DA20" w14:textId="1AB4C0ED" w:rsidR="009A132A" w:rsidRPr="00B57B6A" w:rsidRDefault="0024073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Rather than focusing on the type or size of a building, the CRPD emphases emotional connectedness and ties with the community.</w:t>
      </w:r>
    </w:p>
    <w:p w14:paraId="4C0F3298" w14:textId="1C7AB0BC" w:rsidR="00240737" w:rsidRPr="00B57B6A" w:rsidRDefault="00675922" w:rsidP="00B57B6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While there is a trend away from the use of group homes in parts of the world, group homes are </w:t>
      </w:r>
      <w:r w:rsidR="001912AE">
        <w:rPr>
          <w:rFonts w:ascii="Times New Roman" w:hAnsi="Times New Roman" w:cs="Times New Roman"/>
          <w:sz w:val="24"/>
          <w:szCs w:val="24"/>
        </w:rPr>
        <w:t xml:space="preserve">still </w:t>
      </w:r>
      <w:r>
        <w:rPr>
          <w:rFonts w:ascii="Times New Roman" w:hAnsi="Times New Roman" w:cs="Times New Roman"/>
          <w:sz w:val="24"/>
          <w:szCs w:val="24"/>
        </w:rPr>
        <w:t>widely used as a part of community-based support</w:t>
      </w:r>
      <w:r w:rsidR="001912AE">
        <w:rPr>
          <w:rFonts w:ascii="Times New Roman" w:hAnsi="Times New Roman" w:cs="Times New Roman"/>
          <w:sz w:val="24"/>
          <w:szCs w:val="24"/>
        </w:rPr>
        <w:t xml:space="preserve"> for adults, adolescents, and even children. </w:t>
      </w:r>
      <w:r>
        <w:rPr>
          <w:rFonts w:ascii="Times New Roman" w:hAnsi="Times New Roman" w:cs="Times New Roman"/>
          <w:sz w:val="24"/>
          <w:szCs w:val="24"/>
        </w:rPr>
        <w:t xml:space="preserve"> </w:t>
      </w:r>
      <w:r w:rsidR="009A132A" w:rsidRPr="00B57B6A">
        <w:rPr>
          <w:rFonts w:ascii="Times New Roman" w:hAnsi="Times New Roman" w:cs="Times New Roman"/>
          <w:sz w:val="24"/>
          <w:szCs w:val="24"/>
        </w:rPr>
        <w:t xml:space="preserve">Experts who consider the use of group homes or other forms of residential care acceptable </w:t>
      </w:r>
      <w:r w:rsidR="001912AE">
        <w:rPr>
          <w:rFonts w:ascii="Times New Roman" w:hAnsi="Times New Roman" w:cs="Times New Roman"/>
          <w:sz w:val="24"/>
          <w:szCs w:val="24"/>
        </w:rPr>
        <w:t xml:space="preserve">for children, </w:t>
      </w:r>
      <w:r w:rsidR="009A132A" w:rsidRPr="00B57B6A">
        <w:rPr>
          <w:rFonts w:ascii="Times New Roman" w:hAnsi="Times New Roman" w:cs="Times New Roman"/>
          <w:sz w:val="24"/>
          <w:szCs w:val="24"/>
        </w:rPr>
        <w:t>under some circumstances</w:t>
      </w:r>
      <w:r w:rsidR="001912AE">
        <w:rPr>
          <w:rFonts w:ascii="Times New Roman" w:hAnsi="Times New Roman" w:cs="Times New Roman"/>
          <w:sz w:val="24"/>
          <w:szCs w:val="24"/>
        </w:rPr>
        <w:t>,</w:t>
      </w:r>
      <w:r w:rsidR="009A132A" w:rsidRPr="00B57B6A">
        <w:rPr>
          <w:rFonts w:ascii="Times New Roman" w:hAnsi="Times New Roman" w:cs="Times New Roman"/>
          <w:sz w:val="24"/>
          <w:szCs w:val="24"/>
        </w:rPr>
        <w:t xml:space="preserve"> do so because t</w:t>
      </w:r>
      <w:r w:rsidR="001912AE">
        <w:rPr>
          <w:rFonts w:ascii="Times New Roman" w:hAnsi="Times New Roman" w:cs="Times New Roman"/>
          <w:sz w:val="24"/>
          <w:szCs w:val="24"/>
        </w:rPr>
        <w:t>hey believe it</w:t>
      </w:r>
      <w:r w:rsidR="009A132A" w:rsidRPr="00B57B6A">
        <w:rPr>
          <w:rFonts w:ascii="Times New Roman" w:hAnsi="Times New Roman" w:cs="Times New Roman"/>
          <w:sz w:val="24"/>
          <w:szCs w:val="24"/>
        </w:rPr>
        <w:t xml:space="preserve"> “is the best currently available alternative to an abusive family situation, and it can be a short-term measure until the child can be placed with a family.”</w:t>
      </w:r>
      <w:r w:rsidR="009A132A" w:rsidRPr="00B57B6A">
        <w:rPr>
          <w:rStyle w:val="FootnoteReference"/>
          <w:rFonts w:ascii="Times New Roman" w:hAnsi="Times New Roman" w:cs="Times New Roman"/>
          <w:sz w:val="24"/>
          <w:szCs w:val="24"/>
        </w:rPr>
        <w:footnoteReference w:id="166"/>
      </w:r>
      <w:r w:rsidR="009A132A" w:rsidRPr="00B57B6A">
        <w:rPr>
          <w:rFonts w:ascii="Times New Roman" w:hAnsi="Times New Roman" w:cs="Times New Roman"/>
          <w:sz w:val="24"/>
          <w:szCs w:val="24"/>
        </w:rPr>
        <w:t xml:space="preserve"> Yet even these experts recognize the risk that this will become “the default option for children without adequate family care.”</w:t>
      </w:r>
      <w:r w:rsidR="009A132A" w:rsidRPr="00B57B6A">
        <w:rPr>
          <w:rStyle w:val="FootnoteReference"/>
          <w:rFonts w:ascii="Times New Roman" w:hAnsi="Times New Roman" w:cs="Times New Roman"/>
          <w:sz w:val="24"/>
          <w:szCs w:val="24"/>
        </w:rPr>
        <w:footnoteReference w:id="167"/>
      </w:r>
    </w:p>
    <w:p w14:paraId="7E14DAF0" w14:textId="24F2BC18" w:rsidR="00240737" w:rsidRPr="00B57B6A" w:rsidRDefault="00ED3572" w:rsidP="00EB136D">
      <w:pPr>
        <w:pStyle w:val="Heading2"/>
        <w:numPr>
          <w:ilvl w:val="0"/>
          <w:numId w:val="27"/>
        </w:numPr>
        <w:spacing w:line="240" w:lineRule="auto"/>
        <w:rPr>
          <w:rFonts w:ascii="Times New Roman" w:hAnsi="Times New Roman" w:cs="Times New Roman"/>
          <w:sz w:val="24"/>
          <w:szCs w:val="24"/>
        </w:rPr>
      </w:pPr>
      <w:bookmarkStart w:id="65" w:name="_Toc471468480"/>
      <w:r w:rsidRPr="00B57B6A">
        <w:rPr>
          <w:rFonts w:ascii="Times New Roman" w:hAnsi="Times New Roman" w:cs="Times New Roman"/>
          <w:sz w:val="24"/>
          <w:szCs w:val="24"/>
        </w:rPr>
        <w:t>In</w:t>
      </w:r>
      <w:r w:rsidR="00240737" w:rsidRPr="00B57B6A">
        <w:rPr>
          <w:rFonts w:ascii="Times New Roman" w:hAnsi="Times New Roman" w:cs="Times New Roman"/>
          <w:sz w:val="24"/>
          <w:szCs w:val="24"/>
        </w:rPr>
        <w:t>clusion of children and adults with disabilities</w:t>
      </w:r>
      <w:bookmarkEnd w:id="65"/>
    </w:p>
    <w:p w14:paraId="57CE159F" w14:textId="41BC2C62" w:rsidR="00240737" w:rsidRPr="00B57B6A" w:rsidRDefault="0024073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most significant limitation of the </w:t>
      </w:r>
      <w:r w:rsidR="00854D5A" w:rsidRPr="00B57B6A">
        <w:rPr>
          <w:rFonts w:ascii="Times New Roman" w:hAnsi="Times New Roman" w:cs="Times New Roman"/>
          <w:sz w:val="24"/>
          <w:szCs w:val="24"/>
        </w:rPr>
        <w:t>“</w:t>
      </w:r>
      <w:r w:rsidRPr="00B57B6A">
        <w:rPr>
          <w:rFonts w:ascii="Times New Roman" w:hAnsi="Times New Roman" w:cs="Times New Roman"/>
          <w:sz w:val="24"/>
          <w:szCs w:val="24"/>
        </w:rPr>
        <w:t>last resort</w:t>
      </w:r>
      <w:r w:rsidR="00854D5A" w:rsidRPr="00B57B6A">
        <w:rPr>
          <w:rFonts w:ascii="Times New Roman" w:hAnsi="Times New Roman" w:cs="Times New Roman"/>
          <w:sz w:val="24"/>
          <w:szCs w:val="24"/>
        </w:rPr>
        <w:t>”</w:t>
      </w:r>
      <w:r w:rsidRPr="00B57B6A">
        <w:rPr>
          <w:rFonts w:ascii="Times New Roman" w:hAnsi="Times New Roman" w:cs="Times New Roman"/>
          <w:sz w:val="24"/>
          <w:szCs w:val="24"/>
        </w:rPr>
        <w:t xml:space="preserve"> rule</w:t>
      </w:r>
      <w:r w:rsidR="004E6A7F" w:rsidRPr="00B57B6A">
        <w:rPr>
          <w:rFonts w:ascii="Times New Roman" w:hAnsi="Times New Roman" w:cs="Times New Roman"/>
          <w:sz w:val="24"/>
          <w:szCs w:val="24"/>
        </w:rPr>
        <w:t xml:space="preserve"> without a time limitation</w:t>
      </w:r>
      <w:r w:rsidRPr="00B57B6A">
        <w:rPr>
          <w:rFonts w:ascii="Times New Roman" w:hAnsi="Times New Roman" w:cs="Times New Roman"/>
          <w:sz w:val="24"/>
          <w:szCs w:val="24"/>
        </w:rPr>
        <w:t xml:space="preserve"> is that it derives from what social service systems happen to offer at a given time – rather than looking to the inherent rights or needs of the individual child.</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If a social service system only provides a choice of an orphanage or the street, then an orphanage is (usually) preferable.</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When a social service system fails to provide protections for families or community supports for children with disabilities, it is effectively offering a child a choice between the orphanage and the street.</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Irrespective of </w:t>
      </w:r>
      <w:r w:rsidR="00A477FB">
        <w:rPr>
          <w:rFonts w:ascii="Times New Roman" w:hAnsi="Times New Roman" w:cs="Times New Roman"/>
          <w:sz w:val="24"/>
          <w:szCs w:val="24"/>
        </w:rPr>
        <w:t>his or her</w:t>
      </w:r>
      <w:r w:rsidRPr="00B57B6A">
        <w:rPr>
          <w:rFonts w:ascii="Times New Roman" w:hAnsi="Times New Roman" w:cs="Times New Roman"/>
          <w:sz w:val="24"/>
          <w:szCs w:val="24"/>
        </w:rPr>
        <w:t xml:space="preserve"> needs, every child with a disability must be placed in an institution when family protections and community services are absent.</w:t>
      </w:r>
    </w:p>
    <w:p w14:paraId="1820586B" w14:textId="1A020C92" w:rsidR="00240737" w:rsidRPr="00B57B6A" w:rsidRDefault="0024073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lastRenderedPageBreak/>
        <w:t xml:space="preserve">Recent reforms in the Republic of Georgia </w:t>
      </w:r>
      <w:r w:rsidR="004E6A7F" w:rsidRPr="00B57B6A">
        <w:rPr>
          <w:rFonts w:ascii="Times New Roman" w:hAnsi="Times New Roman" w:cs="Times New Roman"/>
          <w:sz w:val="24"/>
          <w:szCs w:val="24"/>
        </w:rPr>
        <w:t xml:space="preserve">demonstrate the risks of current standards established by General Comment </w:t>
      </w:r>
      <w:r w:rsidR="00D22371" w:rsidRPr="00B57B6A">
        <w:rPr>
          <w:rFonts w:ascii="Times New Roman" w:hAnsi="Times New Roman" w:cs="Times New Roman"/>
          <w:sz w:val="24"/>
          <w:szCs w:val="24"/>
        </w:rPr>
        <w:t>#</w:t>
      </w:r>
      <w:r w:rsidR="004E6A7F" w:rsidRPr="00B57B6A">
        <w:rPr>
          <w:rFonts w:ascii="Times New Roman" w:hAnsi="Times New Roman" w:cs="Times New Roman"/>
          <w:sz w:val="24"/>
          <w:szCs w:val="24"/>
        </w:rPr>
        <w:t>9.</w:t>
      </w:r>
      <w:r w:rsidR="0066171B" w:rsidRPr="00B57B6A">
        <w:rPr>
          <w:rFonts w:ascii="Times New Roman" w:hAnsi="Times New Roman" w:cs="Times New Roman"/>
          <w:sz w:val="24"/>
          <w:szCs w:val="24"/>
        </w:rPr>
        <w:t xml:space="preserve"> </w:t>
      </w:r>
      <w:r w:rsidR="004E6A7F" w:rsidRPr="00B57B6A">
        <w:rPr>
          <w:rFonts w:ascii="Times New Roman" w:hAnsi="Times New Roman" w:cs="Times New Roman"/>
          <w:sz w:val="24"/>
          <w:szCs w:val="24"/>
        </w:rPr>
        <w:t>In a highly regarded manual on the implementation o</w:t>
      </w:r>
      <w:r w:rsidR="001F5E4F">
        <w:rPr>
          <w:rFonts w:ascii="Times New Roman" w:hAnsi="Times New Roman" w:cs="Times New Roman"/>
          <w:sz w:val="24"/>
          <w:szCs w:val="24"/>
        </w:rPr>
        <w:t>f</w:t>
      </w:r>
      <w:r w:rsidR="004E6A7F" w:rsidRPr="00B57B6A">
        <w:rPr>
          <w:rFonts w:ascii="Times New Roman" w:hAnsi="Times New Roman" w:cs="Times New Roman"/>
          <w:sz w:val="24"/>
          <w:szCs w:val="24"/>
        </w:rPr>
        <w:t xml:space="preserve"> the Guidelines for Alternative Care, </w:t>
      </w:r>
      <w:r w:rsidR="00A96198">
        <w:rPr>
          <w:rFonts w:ascii="Times New Roman" w:hAnsi="Times New Roman" w:cs="Times New Roman"/>
          <w:sz w:val="24"/>
          <w:szCs w:val="24"/>
        </w:rPr>
        <w:t xml:space="preserve">deinstitutionalization in </w:t>
      </w:r>
      <w:r w:rsidR="004E6A7F" w:rsidRPr="00B57B6A">
        <w:rPr>
          <w:rFonts w:ascii="Times New Roman" w:hAnsi="Times New Roman" w:cs="Times New Roman"/>
          <w:sz w:val="24"/>
          <w:szCs w:val="24"/>
        </w:rPr>
        <w:t>Georgia</w:t>
      </w:r>
      <w:r w:rsidRPr="00B57B6A">
        <w:rPr>
          <w:rFonts w:ascii="Times New Roman" w:hAnsi="Times New Roman" w:cs="Times New Roman"/>
          <w:sz w:val="24"/>
          <w:szCs w:val="24"/>
        </w:rPr>
        <w:t xml:space="preserve"> </w:t>
      </w:r>
      <w:r w:rsidR="004E6A7F" w:rsidRPr="00B57B6A">
        <w:rPr>
          <w:rFonts w:ascii="Times New Roman" w:hAnsi="Times New Roman" w:cs="Times New Roman"/>
          <w:sz w:val="24"/>
          <w:szCs w:val="24"/>
        </w:rPr>
        <w:t>is identified as a</w:t>
      </w:r>
      <w:r w:rsidRPr="00B57B6A">
        <w:rPr>
          <w:rFonts w:ascii="Times New Roman" w:hAnsi="Times New Roman" w:cs="Times New Roman"/>
          <w:sz w:val="24"/>
          <w:szCs w:val="24"/>
        </w:rPr>
        <w:t xml:space="preserve"> “promising practice</w:t>
      </w:r>
      <w:r w:rsidR="00854D5A" w:rsidRPr="00B57B6A">
        <w:rPr>
          <w:rFonts w:ascii="Times New Roman" w:hAnsi="Times New Roman" w:cs="Times New Roman"/>
          <w:sz w:val="24"/>
          <w:szCs w:val="24"/>
        </w:rPr>
        <w:t>” for deinstitutionalization.</w:t>
      </w:r>
      <w:r w:rsidR="00854D5A" w:rsidRPr="00B57B6A">
        <w:rPr>
          <w:rStyle w:val="FootnoteReference"/>
          <w:rFonts w:ascii="Times New Roman" w:hAnsi="Times New Roman" w:cs="Times New Roman"/>
          <w:sz w:val="24"/>
          <w:szCs w:val="24"/>
        </w:rPr>
        <w:footnoteReference w:id="168"/>
      </w:r>
      <w:r w:rsidRPr="00B57B6A">
        <w:rPr>
          <w:rFonts w:ascii="Times New Roman" w:hAnsi="Times New Roman" w:cs="Times New Roman"/>
          <w:sz w:val="24"/>
          <w:szCs w:val="24"/>
        </w:rPr>
        <w:t xml:space="preserve"> Georgia received an infusion of foreign assistance after its </w:t>
      </w:r>
      <w:r w:rsidR="00A92E88">
        <w:rPr>
          <w:rFonts w:ascii="Times New Roman" w:hAnsi="Times New Roman" w:cs="Times New Roman"/>
          <w:sz w:val="24"/>
          <w:szCs w:val="24"/>
        </w:rPr>
        <w:t xml:space="preserve">2008 </w:t>
      </w:r>
      <w:r w:rsidRPr="00B57B6A">
        <w:rPr>
          <w:rFonts w:ascii="Times New Roman" w:hAnsi="Times New Roman" w:cs="Times New Roman"/>
          <w:sz w:val="24"/>
          <w:szCs w:val="24"/>
        </w:rPr>
        <w:t>war with Russia and UNICEF guided the country through a rapid process of closing its orphanages.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In the four years between 2008 and 2012, the number of children in institutions was reduced from 2,500 to 250.</w:t>
      </w:r>
      <w:r w:rsidRPr="00B57B6A">
        <w:rPr>
          <w:rFonts w:ascii="Times New Roman" w:hAnsi="Times New Roman" w:cs="Times New Roman"/>
          <w:sz w:val="24"/>
          <w:szCs w:val="24"/>
          <w:vertAlign w:val="superscript"/>
        </w:rPr>
        <w:footnoteReference w:id="169"/>
      </w:r>
      <w:r w:rsidR="0066171B" w:rsidRPr="00B57B6A">
        <w:rPr>
          <w:rFonts w:ascii="Times New Roman" w:hAnsi="Times New Roman" w:cs="Times New Roman"/>
          <w:sz w:val="24"/>
          <w:szCs w:val="24"/>
        </w:rPr>
        <w:t xml:space="preserve">  </w:t>
      </w:r>
      <w:r w:rsidR="00854D5A" w:rsidRPr="00B57B6A">
        <w:rPr>
          <w:rFonts w:ascii="Times New Roman" w:hAnsi="Times New Roman" w:cs="Times New Roman"/>
          <w:sz w:val="24"/>
          <w:szCs w:val="24"/>
        </w:rPr>
        <w:t>In 2012-2013, Disability Rights International (DRI) conducted an investigation into the situation of children in Georgia’s institutions.</w:t>
      </w:r>
      <w:bookmarkStart w:id="66" w:name="_Ref466623094"/>
      <w:r w:rsidR="00854D5A" w:rsidRPr="00B57B6A">
        <w:rPr>
          <w:rStyle w:val="FootnoteReference"/>
          <w:rFonts w:ascii="Times New Roman" w:hAnsi="Times New Roman" w:cs="Times New Roman"/>
          <w:sz w:val="24"/>
          <w:szCs w:val="24"/>
        </w:rPr>
        <w:footnoteReference w:id="170"/>
      </w:r>
      <w:bookmarkEnd w:id="66"/>
      <w:r w:rsidR="00854D5A" w:rsidRPr="00B57B6A">
        <w:rPr>
          <w:rFonts w:ascii="Times New Roman" w:hAnsi="Times New Roman" w:cs="Times New Roman"/>
          <w:sz w:val="24"/>
          <w:szCs w:val="24"/>
        </w:rPr>
        <w:t xml:space="preserve"> </w:t>
      </w:r>
      <w:r w:rsidR="00F40B75" w:rsidRPr="00B57B6A">
        <w:rPr>
          <w:rFonts w:ascii="Times New Roman" w:hAnsi="Times New Roman" w:cs="Times New Roman"/>
          <w:sz w:val="24"/>
          <w:szCs w:val="24"/>
        </w:rPr>
        <w:t xml:space="preserve"> In many ways, Georgia’s rapid reforms were impressive, and they demonstrate a far greater commitment to child protection and rights enforcement than other countries of the region.</w:t>
      </w:r>
      <w:bookmarkStart w:id="67" w:name="_Ref471315886"/>
      <w:r w:rsidR="00F40B75" w:rsidRPr="00B57B6A">
        <w:rPr>
          <w:rStyle w:val="FootnoteReference"/>
          <w:rFonts w:ascii="Times New Roman" w:hAnsi="Times New Roman" w:cs="Times New Roman"/>
          <w:sz w:val="24"/>
          <w:szCs w:val="24"/>
        </w:rPr>
        <w:footnoteReference w:id="171"/>
      </w:r>
      <w:bookmarkEnd w:id="67"/>
      <w:r w:rsidR="00F40B75" w:rsidRPr="00B57B6A">
        <w:rPr>
          <w:rFonts w:ascii="Times New Roman" w:hAnsi="Times New Roman" w:cs="Times New Roman"/>
          <w:sz w:val="24"/>
          <w:szCs w:val="24"/>
        </w:rPr>
        <w:t xml:space="preserve"> </w:t>
      </w:r>
      <w:r w:rsidR="00854D5A" w:rsidRPr="00B57B6A">
        <w:rPr>
          <w:rFonts w:ascii="Times New Roman" w:hAnsi="Times New Roman" w:cs="Times New Roman"/>
          <w:sz w:val="24"/>
          <w:szCs w:val="24"/>
        </w:rPr>
        <w:t xml:space="preserve">DRI found that </w:t>
      </w:r>
      <w:r w:rsidRPr="00B57B6A">
        <w:rPr>
          <w:rFonts w:ascii="Times New Roman" w:hAnsi="Times New Roman" w:cs="Times New Roman"/>
          <w:sz w:val="24"/>
          <w:szCs w:val="24"/>
        </w:rPr>
        <w:t>children with disabilities</w:t>
      </w:r>
      <w:r w:rsidR="00F40B75" w:rsidRPr="00B57B6A">
        <w:rPr>
          <w:rFonts w:ascii="Times New Roman" w:hAnsi="Times New Roman" w:cs="Times New Roman"/>
          <w:sz w:val="24"/>
          <w:szCs w:val="24"/>
        </w:rPr>
        <w:t>, however,</w:t>
      </w:r>
      <w:r w:rsidRPr="00B57B6A">
        <w:rPr>
          <w:rFonts w:ascii="Times New Roman" w:hAnsi="Times New Roman" w:cs="Times New Roman"/>
          <w:sz w:val="24"/>
          <w:szCs w:val="24"/>
        </w:rPr>
        <w:t xml:space="preserve"> were</w:t>
      </w:r>
      <w:r w:rsidR="00854D5A" w:rsidRPr="00B57B6A">
        <w:rPr>
          <w:rFonts w:ascii="Times New Roman" w:hAnsi="Times New Roman" w:cs="Times New Roman"/>
          <w:sz w:val="24"/>
          <w:szCs w:val="24"/>
        </w:rPr>
        <w:t xml:space="preserve"> largely</w:t>
      </w:r>
      <w:r w:rsidRPr="00B57B6A">
        <w:rPr>
          <w:rFonts w:ascii="Times New Roman" w:hAnsi="Times New Roman" w:cs="Times New Roman"/>
          <w:sz w:val="24"/>
          <w:szCs w:val="24"/>
        </w:rPr>
        <w:t xml:space="preserve"> excluded from</w:t>
      </w:r>
      <w:r w:rsidR="00486E49" w:rsidRPr="00B57B6A">
        <w:rPr>
          <w:rFonts w:ascii="Times New Roman" w:hAnsi="Times New Roman" w:cs="Times New Roman"/>
          <w:sz w:val="24"/>
          <w:szCs w:val="24"/>
        </w:rPr>
        <w:t xml:space="preserve"> this</w:t>
      </w:r>
      <w:r w:rsidRPr="00B57B6A">
        <w:rPr>
          <w:rFonts w:ascii="Times New Roman" w:hAnsi="Times New Roman" w:cs="Times New Roman"/>
          <w:sz w:val="24"/>
          <w:szCs w:val="24"/>
        </w:rPr>
        <w:t xml:space="preserve"> reform.</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Children with limited support needs were integrated into the community, but </w:t>
      </w:r>
      <w:r w:rsidR="00FB149A" w:rsidRPr="00B57B6A">
        <w:rPr>
          <w:rFonts w:ascii="Times New Roman" w:hAnsi="Times New Roman" w:cs="Times New Roman"/>
          <w:sz w:val="24"/>
          <w:szCs w:val="24"/>
        </w:rPr>
        <w:t>reformers did not plan from the outset</w:t>
      </w:r>
      <w:r w:rsidRPr="00B57B6A">
        <w:rPr>
          <w:rFonts w:ascii="Times New Roman" w:hAnsi="Times New Roman" w:cs="Times New Roman"/>
          <w:sz w:val="24"/>
          <w:szCs w:val="24"/>
        </w:rPr>
        <w:t xml:space="preserve"> to create the supports necessary for children with disabilities to be integrated in to the community.</w:t>
      </w:r>
      <w:r w:rsidR="00FB149A" w:rsidRPr="00B57B6A">
        <w:rPr>
          <w:rStyle w:val="FootnoteReference"/>
          <w:rFonts w:ascii="Times New Roman" w:hAnsi="Times New Roman" w:cs="Times New Roman"/>
          <w:sz w:val="24"/>
          <w:szCs w:val="24"/>
        </w:rPr>
        <w:footnoteReference w:id="172"/>
      </w:r>
      <w:r w:rsidR="0066171B" w:rsidRPr="00B57B6A">
        <w:rPr>
          <w:rFonts w:ascii="Times New Roman" w:hAnsi="Times New Roman" w:cs="Times New Roman"/>
          <w:sz w:val="24"/>
          <w:szCs w:val="24"/>
        </w:rPr>
        <w:t xml:space="preserve"> </w:t>
      </w:r>
      <w:r w:rsidR="00FB149A" w:rsidRPr="00B57B6A">
        <w:rPr>
          <w:rFonts w:ascii="Times New Roman" w:hAnsi="Times New Roman" w:cs="Times New Roman"/>
          <w:sz w:val="24"/>
          <w:szCs w:val="24"/>
        </w:rPr>
        <w:t>As a result, b</w:t>
      </w:r>
      <w:r w:rsidRPr="00B57B6A">
        <w:rPr>
          <w:rFonts w:ascii="Times New Roman" w:hAnsi="Times New Roman" w:cs="Times New Roman"/>
          <w:sz w:val="24"/>
          <w:szCs w:val="24"/>
        </w:rPr>
        <w:t xml:space="preserve">y 2013, when DRI documented this situation in Georgia, </w:t>
      </w:r>
      <w:r w:rsidR="00FB149A" w:rsidRPr="00B57B6A">
        <w:rPr>
          <w:rFonts w:ascii="Times New Roman" w:hAnsi="Times New Roman" w:cs="Times New Roman"/>
          <w:sz w:val="24"/>
          <w:szCs w:val="24"/>
        </w:rPr>
        <w:t>three institutions for children with disabilities remained. B</w:t>
      </w:r>
      <w:r w:rsidRPr="00B57B6A">
        <w:rPr>
          <w:rFonts w:ascii="Times New Roman" w:hAnsi="Times New Roman" w:cs="Times New Roman"/>
          <w:sz w:val="24"/>
          <w:szCs w:val="24"/>
        </w:rPr>
        <w:t>oth governmental and international funding f</w:t>
      </w:r>
      <w:r w:rsidR="00FB149A" w:rsidRPr="00B57B6A">
        <w:rPr>
          <w:rFonts w:ascii="Times New Roman" w:hAnsi="Times New Roman" w:cs="Times New Roman"/>
          <w:sz w:val="24"/>
          <w:szCs w:val="24"/>
        </w:rPr>
        <w:t>or reform had dried up.</w:t>
      </w:r>
      <w:r w:rsidR="00F40B75" w:rsidRPr="00B57B6A">
        <w:rPr>
          <w:rStyle w:val="FootnoteReference"/>
          <w:rFonts w:ascii="Times New Roman" w:hAnsi="Times New Roman" w:cs="Times New Roman"/>
          <w:sz w:val="24"/>
          <w:szCs w:val="24"/>
        </w:rPr>
        <w:footnoteReference w:id="173"/>
      </w:r>
      <w:r w:rsidR="002E57A9">
        <w:rPr>
          <w:rFonts w:ascii="Times New Roman" w:hAnsi="Times New Roman" w:cs="Times New Roman"/>
          <w:sz w:val="24"/>
          <w:szCs w:val="24"/>
        </w:rPr>
        <w:t xml:space="preserve"> </w:t>
      </w:r>
    </w:p>
    <w:p w14:paraId="0A8D6427" w14:textId="3305CEB6" w:rsidR="00016E6A" w:rsidRPr="00B57B6A" w:rsidRDefault="00854D5A"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CRPD brings </w:t>
      </w:r>
      <w:r w:rsidR="005744F5">
        <w:rPr>
          <w:rFonts w:ascii="Times New Roman" w:hAnsi="Times New Roman" w:cs="Times New Roman"/>
          <w:sz w:val="24"/>
          <w:szCs w:val="24"/>
        </w:rPr>
        <w:t xml:space="preserve">the </w:t>
      </w:r>
      <w:r w:rsidRPr="00B57B6A">
        <w:rPr>
          <w:rFonts w:ascii="Times New Roman" w:hAnsi="Times New Roman" w:cs="Times New Roman"/>
          <w:sz w:val="24"/>
          <w:szCs w:val="24"/>
        </w:rPr>
        <w:t xml:space="preserve">attention </w:t>
      </w:r>
      <w:r w:rsidR="005744F5">
        <w:rPr>
          <w:rFonts w:ascii="Times New Roman" w:hAnsi="Times New Roman" w:cs="Times New Roman"/>
          <w:sz w:val="24"/>
          <w:szCs w:val="24"/>
        </w:rPr>
        <w:t>of</w:t>
      </w:r>
      <w:r w:rsidRPr="00B57B6A">
        <w:rPr>
          <w:rFonts w:ascii="Times New Roman" w:hAnsi="Times New Roman" w:cs="Times New Roman"/>
          <w:sz w:val="24"/>
          <w:szCs w:val="24"/>
        </w:rPr>
        <w:t xml:space="preserve"> governments and international development agencies to the obligation to include children with disabilities in all programs. The protection against discrimination should be understood to mean that children with disabilities must be included at all stages of reform, and not left to the end. The </w:t>
      </w:r>
      <w:r w:rsidR="00ED46EF">
        <w:rPr>
          <w:rFonts w:ascii="Times New Roman" w:hAnsi="Times New Roman" w:cs="Times New Roman"/>
          <w:sz w:val="24"/>
          <w:szCs w:val="24"/>
        </w:rPr>
        <w:t xml:space="preserve">Torture </w:t>
      </w:r>
      <w:r w:rsidR="00F34275">
        <w:rPr>
          <w:rFonts w:ascii="Times New Roman" w:hAnsi="Times New Roman" w:cs="Times New Roman"/>
          <w:sz w:val="24"/>
          <w:szCs w:val="24"/>
        </w:rPr>
        <w:t xml:space="preserve">Standard </w:t>
      </w:r>
      <w:r w:rsidR="00F34275" w:rsidRPr="00B57B6A">
        <w:rPr>
          <w:rFonts w:ascii="Times New Roman" w:hAnsi="Times New Roman" w:cs="Times New Roman"/>
          <w:sz w:val="24"/>
          <w:szCs w:val="24"/>
        </w:rPr>
        <w:t>effectively</w:t>
      </w:r>
      <w:r w:rsidRPr="00B57B6A">
        <w:rPr>
          <w:rFonts w:ascii="Times New Roman" w:hAnsi="Times New Roman" w:cs="Times New Roman"/>
          <w:sz w:val="24"/>
          <w:szCs w:val="24"/>
        </w:rPr>
        <w:t xml:space="preserve"> complements the CRPD in this regard.  Placement for the “shortest time” possible should never be interpreted to mean “whenever the needs of all the non-disabled children are met.”</w:t>
      </w:r>
    </w:p>
    <w:p w14:paraId="0C9602E5" w14:textId="0F26B87E" w:rsidR="00775282" w:rsidRPr="00B57B6A" w:rsidRDefault="002A2585" w:rsidP="00EB136D">
      <w:pPr>
        <w:pStyle w:val="Heading1"/>
        <w:numPr>
          <w:ilvl w:val="0"/>
          <w:numId w:val="35"/>
        </w:numPr>
        <w:spacing w:line="240" w:lineRule="auto"/>
        <w:rPr>
          <w:rFonts w:ascii="Times New Roman" w:hAnsi="Times New Roman" w:cs="Times New Roman"/>
          <w:sz w:val="24"/>
          <w:szCs w:val="24"/>
        </w:rPr>
      </w:pPr>
      <w:bookmarkStart w:id="68" w:name="_Toc471468481"/>
      <w:r w:rsidRPr="00B57B6A">
        <w:rPr>
          <w:rFonts w:ascii="Times New Roman" w:hAnsi="Times New Roman" w:cs="Times New Roman"/>
          <w:sz w:val="24"/>
          <w:szCs w:val="24"/>
        </w:rPr>
        <w:t>I</w:t>
      </w:r>
      <w:r w:rsidR="00775282" w:rsidRPr="00B57B6A">
        <w:rPr>
          <w:rFonts w:ascii="Times New Roman" w:hAnsi="Times New Roman" w:cs="Times New Roman"/>
          <w:sz w:val="24"/>
          <w:szCs w:val="24"/>
        </w:rPr>
        <w:t xml:space="preserve">ll-treatment </w:t>
      </w:r>
      <w:r w:rsidR="00085DC2">
        <w:rPr>
          <w:rFonts w:ascii="Times New Roman" w:hAnsi="Times New Roman" w:cs="Times New Roman"/>
          <w:sz w:val="24"/>
          <w:szCs w:val="24"/>
        </w:rPr>
        <w:t>and</w:t>
      </w:r>
      <w:r w:rsidR="00775282" w:rsidRPr="00B57B6A">
        <w:rPr>
          <w:rFonts w:ascii="Times New Roman" w:hAnsi="Times New Roman" w:cs="Times New Roman"/>
          <w:sz w:val="24"/>
          <w:szCs w:val="24"/>
        </w:rPr>
        <w:t xml:space="preserve"> torture</w:t>
      </w:r>
      <w:r w:rsidRPr="00B57B6A">
        <w:rPr>
          <w:rFonts w:ascii="Times New Roman" w:hAnsi="Times New Roman" w:cs="Times New Roman"/>
          <w:sz w:val="24"/>
          <w:szCs w:val="24"/>
        </w:rPr>
        <w:t xml:space="preserve"> in </w:t>
      </w:r>
      <w:r w:rsidR="002C60AB" w:rsidRPr="00B57B6A">
        <w:rPr>
          <w:rFonts w:ascii="Times New Roman" w:hAnsi="Times New Roman" w:cs="Times New Roman"/>
          <w:sz w:val="24"/>
          <w:szCs w:val="24"/>
        </w:rPr>
        <w:t>institutions</w:t>
      </w:r>
      <w:bookmarkEnd w:id="68"/>
    </w:p>
    <w:p w14:paraId="1E74BAC8" w14:textId="7836006D" w:rsidR="00D7262A" w:rsidRPr="00B57B6A" w:rsidRDefault="002A37C5" w:rsidP="00B57B6A">
      <w:pPr>
        <w:spacing w:before="1" w:after="1" w:line="240" w:lineRule="auto"/>
        <w:jc w:val="both"/>
        <w:rPr>
          <w:rFonts w:ascii="Times New Roman" w:hAnsi="Times New Roman" w:cs="Times New Roman"/>
          <w:sz w:val="24"/>
          <w:szCs w:val="24"/>
        </w:rPr>
      </w:pPr>
      <w:r w:rsidRPr="00B57B6A">
        <w:rPr>
          <w:rFonts w:ascii="Times New Roman" w:hAnsi="Times New Roman" w:cs="Times New Roman"/>
          <w:sz w:val="24"/>
          <w:szCs w:val="24"/>
        </w:rPr>
        <w:lastRenderedPageBreak/>
        <w:t xml:space="preserve">Special Rapporteurs on Torture Manfred Nowak and Juan </w:t>
      </w:r>
      <w:r w:rsidR="00F467E9" w:rsidRPr="00B57B6A">
        <w:rPr>
          <w:rFonts w:ascii="Times New Roman" w:hAnsi="Times New Roman" w:cs="Times New Roman"/>
          <w:sz w:val="24"/>
          <w:szCs w:val="24"/>
        </w:rPr>
        <w:t>Méndez</w:t>
      </w:r>
      <w:r w:rsidRPr="00B57B6A">
        <w:rPr>
          <w:rFonts w:ascii="Times New Roman" w:hAnsi="Times New Roman" w:cs="Times New Roman"/>
          <w:sz w:val="24"/>
          <w:szCs w:val="24"/>
        </w:rPr>
        <w:t xml:space="preserve"> have contributed greatly to the recognition of ill-treatment and torture in the context of health and social care. </w:t>
      </w:r>
      <w:r w:rsidR="004A4E81" w:rsidRPr="00B57B6A">
        <w:rPr>
          <w:rFonts w:ascii="Times New Roman" w:hAnsi="Times New Roman" w:cs="Times New Roman"/>
          <w:sz w:val="24"/>
          <w:szCs w:val="24"/>
        </w:rPr>
        <w:t xml:space="preserve">While the </w:t>
      </w:r>
      <w:r w:rsidR="007A0BC8">
        <w:rPr>
          <w:rFonts w:ascii="Times New Roman" w:hAnsi="Times New Roman" w:cs="Times New Roman"/>
          <w:sz w:val="24"/>
          <w:szCs w:val="24"/>
        </w:rPr>
        <w:t xml:space="preserve">international legal framework for the </w:t>
      </w:r>
      <w:r w:rsidR="004A4E81" w:rsidRPr="00B57B6A">
        <w:rPr>
          <w:rFonts w:ascii="Times New Roman" w:hAnsi="Times New Roman" w:cs="Times New Roman"/>
          <w:sz w:val="24"/>
          <w:szCs w:val="24"/>
        </w:rPr>
        <w:t xml:space="preserve">protection against ill-treatment </w:t>
      </w:r>
      <w:r w:rsidR="007A0BC8">
        <w:rPr>
          <w:rFonts w:ascii="Times New Roman" w:hAnsi="Times New Roman" w:cs="Times New Roman"/>
          <w:sz w:val="24"/>
          <w:szCs w:val="24"/>
        </w:rPr>
        <w:t>and</w:t>
      </w:r>
      <w:r w:rsidR="004A4E81" w:rsidRPr="00B57B6A">
        <w:rPr>
          <w:rFonts w:ascii="Times New Roman" w:hAnsi="Times New Roman" w:cs="Times New Roman"/>
          <w:sz w:val="24"/>
          <w:szCs w:val="24"/>
        </w:rPr>
        <w:t xml:space="preserve"> torture has been applied to conditions of detention in prisons, mental health facilities, </w:t>
      </w:r>
      <w:r w:rsidR="00380693">
        <w:rPr>
          <w:rFonts w:ascii="Times New Roman" w:hAnsi="Times New Roman" w:cs="Times New Roman"/>
          <w:sz w:val="24"/>
          <w:szCs w:val="24"/>
        </w:rPr>
        <w:t>and</w:t>
      </w:r>
      <w:r w:rsidR="004A4E81" w:rsidRPr="00B57B6A">
        <w:rPr>
          <w:rFonts w:ascii="Times New Roman" w:hAnsi="Times New Roman" w:cs="Times New Roman"/>
          <w:sz w:val="24"/>
          <w:szCs w:val="24"/>
        </w:rPr>
        <w:t xml:space="preserve"> social care institutions for children, human rights law has generally </w:t>
      </w:r>
      <w:r w:rsidR="00775282" w:rsidRPr="00B57B6A">
        <w:rPr>
          <w:rFonts w:ascii="Times New Roman" w:hAnsi="Times New Roman" w:cs="Times New Roman"/>
          <w:sz w:val="24"/>
          <w:szCs w:val="24"/>
        </w:rPr>
        <w:t xml:space="preserve">been deferential </w:t>
      </w:r>
      <w:r w:rsidR="00903ED1" w:rsidRPr="00B57B6A">
        <w:rPr>
          <w:rFonts w:ascii="Times New Roman" w:hAnsi="Times New Roman" w:cs="Times New Roman"/>
          <w:sz w:val="24"/>
          <w:szCs w:val="24"/>
        </w:rPr>
        <w:t xml:space="preserve">to </w:t>
      </w:r>
      <w:r w:rsidRPr="00B57B6A">
        <w:rPr>
          <w:rFonts w:ascii="Times New Roman" w:hAnsi="Times New Roman" w:cs="Times New Roman"/>
          <w:sz w:val="24"/>
          <w:szCs w:val="24"/>
        </w:rPr>
        <w:t>practices justified as “treatment” or actions taken for the ostensible protection of individuals with disabilities.</w:t>
      </w:r>
      <w:bookmarkStart w:id="69" w:name="_Ref334716376"/>
      <w:r w:rsidRPr="00B57B6A">
        <w:rPr>
          <w:rStyle w:val="FootnoteReference"/>
          <w:rFonts w:ascii="Times New Roman" w:hAnsi="Times New Roman" w:cs="Times New Roman"/>
          <w:sz w:val="24"/>
          <w:szCs w:val="24"/>
        </w:rPr>
        <w:footnoteReference w:id="174"/>
      </w:r>
      <w:bookmarkEnd w:id="69"/>
      <w:r w:rsidR="00000337">
        <w:rPr>
          <w:rFonts w:ascii="Times New Roman" w:hAnsi="Times New Roman" w:cs="Times New Roman"/>
          <w:sz w:val="24"/>
          <w:szCs w:val="24"/>
        </w:rPr>
        <w:t xml:space="preserve"> Healthcare professionals are assumed to be “well intended,” so it is often assumed that there is no “intent” to cause pain or suffering.  </w:t>
      </w:r>
      <w:r w:rsidR="00B85197" w:rsidRPr="00B57B6A">
        <w:rPr>
          <w:rFonts w:ascii="Times New Roman" w:hAnsi="Times New Roman" w:cs="Times New Roman"/>
          <w:sz w:val="24"/>
          <w:szCs w:val="24"/>
        </w:rPr>
        <w:t xml:space="preserve">Demonstrating purpose has been even harder, as treatment practices are justified as </w:t>
      </w:r>
      <w:r w:rsidR="000864B0" w:rsidRPr="00B57B6A">
        <w:rPr>
          <w:rFonts w:ascii="Times New Roman" w:hAnsi="Times New Roman" w:cs="Times New Roman"/>
          <w:sz w:val="24"/>
          <w:szCs w:val="24"/>
        </w:rPr>
        <w:t xml:space="preserve">a </w:t>
      </w:r>
      <w:r w:rsidR="00B85197" w:rsidRPr="00B57B6A">
        <w:rPr>
          <w:rFonts w:ascii="Times New Roman" w:hAnsi="Times New Roman" w:cs="Times New Roman"/>
          <w:sz w:val="24"/>
          <w:szCs w:val="24"/>
        </w:rPr>
        <w:t>form of medically necessary care in the best interest of the subject.</w:t>
      </w:r>
      <w:r w:rsidR="00D7262A" w:rsidRPr="00B57B6A">
        <w:rPr>
          <w:rFonts w:ascii="Times New Roman" w:hAnsi="Times New Roman" w:cs="Times New Roman"/>
          <w:sz w:val="24"/>
          <w:szCs w:val="24"/>
        </w:rPr>
        <w:t xml:space="preserve">  </w:t>
      </w:r>
    </w:p>
    <w:p w14:paraId="2C742BA1" w14:textId="77777777" w:rsidR="00D7262A" w:rsidRPr="00B57B6A" w:rsidRDefault="00D7262A" w:rsidP="00B57B6A">
      <w:pPr>
        <w:spacing w:before="1" w:after="1" w:line="240" w:lineRule="auto"/>
        <w:jc w:val="both"/>
        <w:rPr>
          <w:rFonts w:ascii="Times New Roman" w:hAnsi="Times New Roman" w:cs="Times New Roman"/>
          <w:sz w:val="24"/>
          <w:szCs w:val="24"/>
        </w:rPr>
      </w:pPr>
    </w:p>
    <w:p w14:paraId="5BC939C0" w14:textId="5C19B426" w:rsidR="004A4E81" w:rsidRPr="00B57B6A" w:rsidRDefault="005B6FD3" w:rsidP="00B57B6A">
      <w:pPr>
        <w:spacing w:before="1" w:after="1" w:line="240" w:lineRule="auto"/>
        <w:jc w:val="both"/>
        <w:rPr>
          <w:rFonts w:ascii="Times New Roman" w:hAnsi="Times New Roman" w:cs="Times New Roman"/>
          <w:sz w:val="24"/>
          <w:szCs w:val="24"/>
        </w:rPr>
      </w:pPr>
      <w:r>
        <w:rPr>
          <w:rFonts w:ascii="Times New Roman" w:hAnsi="Times New Roman" w:cs="Times New Roman"/>
          <w:sz w:val="24"/>
          <w:szCs w:val="24"/>
        </w:rPr>
        <w:t xml:space="preserve">As discussed in Part III above, </w:t>
      </w:r>
      <w:r w:rsidR="00D7262A" w:rsidRPr="00B57B6A">
        <w:rPr>
          <w:rFonts w:ascii="Times New Roman" w:hAnsi="Times New Roman" w:cs="Times New Roman"/>
          <w:sz w:val="24"/>
          <w:szCs w:val="24"/>
        </w:rPr>
        <w:t xml:space="preserve">The European Court’s decision in the </w:t>
      </w:r>
      <w:r w:rsidR="00D7262A" w:rsidRPr="00B57B6A">
        <w:rPr>
          <w:rFonts w:ascii="Times New Roman" w:hAnsi="Times New Roman" w:cs="Times New Roman"/>
          <w:i/>
          <w:sz w:val="24"/>
          <w:szCs w:val="24"/>
        </w:rPr>
        <w:t>Stanev</w:t>
      </w:r>
      <w:r w:rsidR="00D7262A" w:rsidRPr="00B57B6A">
        <w:rPr>
          <w:rFonts w:ascii="Times New Roman" w:hAnsi="Times New Roman" w:cs="Times New Roman"/>
          <w:sz w:val="24"/>
          <w:szCs w:val="24"/>
        </w:rPr>
        <w:t xml:space="preserve"> case demonstrates the challenge. Mr. Stanev was wrongfully detained for nearly ten years in a remote </w:t>
      </w:r>
      <w:r w:rsidR="00464061" w:rsidRPr="00B57B6A">
        <w:rPr>
          <w:rFonts w:ascii="Times New Roman" w:hAnsi="Times New Roman" w:cs="Times New Roman"/>
          <w:sz w:val="24"/>
          <w:szCs w:val="24"/>
        </w:rPr>
        <w:t xml:space="preserve">facility </w:t>
      </w:r>
      <w:r w:rsidR="00D7262A" w:rsidRPr="00B57B6A">
        <w:rPr>
          <w:rFonts w:ascii="Times New Roman" w:hAnsi="Times New Roman" w:cs="Times New Roman"/>
          <w:sz w:val="24"/>
          <w:szCs w:val="24"/>
        </w:rPr>
        <w:t>without adequate food, heat, or running water – where one in ten people died each year – yet the Court found only that conditions were “degrading</w:t>
      </w:r>
      <w:r>
        <w:rPr>
          <w:rFonts w:ascii="Times New Roman" w:hAnsi="Times New Roman" w:cs="Times New Roman"/>
          <w:sz w:val="24"/>
          <w:szCs w:val="24"/>
        </w:rPr>
        <w:t>.</w:t>
      </w:r>
      <w:r w:rsidR="00D7262A" w:rsidRPr="00B57B6A">
        <w:rPr>
          <w:rFonts w:ascii="Times New Roman" w:hAnsi="Times New Roman" w:cs="Times New Roman"/>
          <w:sz w:val="24"/>
          <w:szCs w:val="24"/>
        </w:rPr>
        <w:t>”</w:t>
      </w:r>
      <w:r>
        <w:rPr>
          <w:rFonts w:ascii="Times New Roman" w:hAnsi="Times New Roman" w:cs="Times New Roman"/>
          <w:sz w:val="24"/>
          <w:szCs w:val="24"/>
        </w:rPr>
        <w:t xml:space="preserve"> </w:t>
      </w:r>
      <w:r w:rsidR="00D7262A" w:rsidRPr="00B57B6A">
        <w:rPr>
          <w:rFonts w:ascii="Times New Roman" w:hAnsi="Times New Roman" w:cs="Times New Roman"/>
          <w:sz w:val="24"/>
          <w:szCs w:val="24"/>
        </w:rPr>
        <w:t>The Court said treatment was not torture because there was no evidence that authorities at the facility “deliberately intended to inflict degrading treatment.”</w:t>
      </w:r>
      <w:r w:rsidR="00D7262A" w:rsidRPr="00B57B6A">
        <w:rPr>
          <w:rStyle w:val="FootnoteReference"/>
          <w:rFonts w:ascii="Times New Roman" w:hAnsi="Times New Roman" w:cs="Times New Roman"/>
          <w:sz w:val="24"/>
          <w:szCs w:val="24"/>
        </w:rPr>
        <w:footnoteReference w:id="175"/>
      </w:r>
    </w:p>
    <w:p w14:paraId="557BD861" w14:textId="77777777" w:rsidR="00F052BC" w:rsidRPr="00B57B6A" w:rsidRDefault="00F052BC" w:rsidP="00B57B6A">
      <w:pPr>
        <w:spacing w:before="1" w:after="1" w:line="240" w:lineRule="auto"/>
        <w:jc w:val="both"/>
        <w:rPr>
          <w:rFonts w:ascii="Times New Roman" w:hAnsi="Times New Roman" w:cs="Times New Roman"/>
          <w:sz w:val="24"/>
          <w:szCs w:val="24"/>
        </w:rPr>
      </w:pPr>
    </w:p>
    <w:p w14:paraId="61210BE4" w14:textId="425C7FFF" w:rsidR="005B6FD3" w:rsidRDefault="0035049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Bulgaria had not yet ratified the CRPD when the </w:t>
      </w:r>
      <w:r w:rsidRPr="00B57B6A">
        <w:rPr>
          <w:rFonts w:ascii="Times New Roman" w:hAnsi="Times New Roman" w:cs="Times New Roman"/>
          <w:i/>
          <w:sz w:val="24"/>
          <w:szCs w:val="24"/>
        </w:rPr>
        <w:t xml:space="preserve">Stanev </w:t>
      </w:r>
      <w:r w:rsidRPr="00B57B6A">
        <w:rPr>
          <w:rFonts w:ascii="Times New Roman" w:hAnsi="Times New Roman" w:cs="Times New Roman"/>
          <w:sz w:val="24"/>
          <w:szCs w:val="24"/>
        </w:rPr>
        <w:t xml:space="preserve">case was originally filed. The CRPD may now shape the Court’s understanding about torture and detention, as it has influenced the work of the UN Special Rapporteurs on Torture.  </w:t>
      </w:r>
      <w:r w:rsidR="00775282" w:rsidRPr="00B57B6A">
        <w:rPr>
          <w:rFonts w:ascii="Times New Roman" w:hAnsi="Times New Roman" w:cs="Times New Roman"/>
          <w:sz w:val="24"/>
          <w:szCs w:val="24"/>
        </w:rPr>
        <w:t xml:space="preserve">Shortly after the adoption of the CRPD in 2006 and before </w:t>
      </w:r>
      <w:r w:rsidR="00BD7414">
        <w:rPr>
          <w:rFonts w:ascii="Times New Roman" w:hAnsi="Times New Roman" w:cs="Times New Roman"/>
          <w:sz w:val="24"/>
          <w:szCs w:val="24"/>
        </w:rPr>
        <w:t xml:space="preserve">its </w:t>
      </w:r>
      <w:r w:rsidR="00775282" w:rsidRPr="00B57B6A">
        <w:rPr>
          <w:rFonts w:ascii="Times New Roman" w:hAnsi="Times New Roman" w:cs="Times New Roman"/>
          <w:sz w:val="24"/>
          <w:szCs w:val="24"/>
        </w:rPr>
        <w:t xml:space="preserve">entry into force </w:t>
      </w:r>
      <w:r w:rsidR="00BD7414">
        <w:rPr>
          <w:rFonts w:ascii="Times New Roman" w:hAnsi="Times New Roman" w:cs="Times New Roman"/>
          <w:sz w:val="24"/>
          <w:szCs w:val="24"/>
        </w:rPr>
        <w:t>in 2008</w:t>
      </w:r>
      <w:r w:rsidR="00775282" w:rsidRPr="00B57B6A">
        <w:rPr>
          <w:rFonts w:ascii="Times New Roman" w:hAnsi="Times New Roman" w:cs="Times New Roman"/>
          <w:sz w:val="24"/>
          <w:szCs w:val="24"/>
        </w:rPr>
        <w:t xml:space="preserve">, UN Special Rapporteur on Torture Manfred Nowak </w:t>
      </w:r>
      <w:r w:rsidR="009412EE">
        <w:rPr>
          <w:rFonts w:ascii="Times New Roman" w:hAnsi="Times New Roman" w:cs="Times New Roman"/>
          <w:sz w:val="24"/>
          <w:szCs w:val="24"/>
        </w:rPr>
        <w:t>conv</w:t>
      </w:r>
      <w:r w:rsidR="00775282" w:rsidRPr="00B57B6A">
        <w:rPr>
          <w:rFonts w:ascii="Times New Roman" w:hAnsi="Times New Roman" w:cs="Times New Roman"/>
          <w:sz w:val="24"/>
          <w:szCs w:val="24"/>
        </w:rPr>
        <w:t>e</w:t>
      </w:r>
      <w:r w:rsidR="009412EE">
        <w:rPr>
          <w:rFonts w:ascii="Times New Roman" w:hAnsi="Times New Roman" w:cs="Times New Roman"/>
          <w:sz w:val="24"/>
          <w:szCs w:val="24"/>
        </w:rPr>
        <w:t>n</w:t>
      </w:r>
      <w:r w:rsidR="00775282" w:rsidRPr="00B57B6A">
        <w:rPr>
          <w:rFonts w:ascii="Times New Roman" w:hAnsi="Times New Roman" w:cs="Times New Roman"/>
          <w:sz w:val="24"/>
          <w:szCs w:val="24"/>
        </w:rPr>
        <w:t>ed a group of experts on disability and torture to discuss the application of the torture convention in the context of disability.</w:t>
      </w:r>
      <w:bookmarkStart w:id="70" w:name="_Ref339836709"/>
      <w:r w:rsidR="002A37C5" w:rsidRPr="00B57B6A">
        <w:rPr>
          <w:rStyle w:val="FootnoteReference"/>
          <w:rFonts w:ascii="Times New Roman" w:hAnsi="Times New Roman" w:cs="Times New Roman"/>
          <w:sz w:val="24"/>
          <w:szCs w:val="24"/>
        </w:rPr>
        <w:footnoteReference w:id="176"/>
      </w:r>
      <w:bookmarkEnd w:id="70"/>
      <w:r w:rsidR="0066171B" w:rsidRPr="00B57B6A">
        <w:rPr>
          <w:rFonts w:ascii="Times New Roman" w:hAnsi="Times New Roman" w:cs="Times New Roman"/>
          <w:sz w:val="24"/>
          <w:szCs w:val="24"/>
        </w:rPr>
        <w:t xml:space="preserve"> </w:t>
      </w:r>
    </w:p>
    <w:p w14:paraId="5C206C58" w14:textId="4BD20DDB" w:rsidR="00775282" w:rsidRPr="00B57B6A" w:rsidRDefault="00000337" w:rsidP="00B57B6A">
      <w:pPr>
        <w:spacing w:line="240" w:lineRule="auto"/>
        <w:jc w:val="both"/>
        <w:rPr>
          <w:rFonts w:ascii="Times New Roman" w:hAnsi="Times New Roman" w:cs="Times New Roman"/>
          <w:b/>
          <w:sz w:val="24"/>
          <w:szCs w:val="24"/>
        </w:rPr>
      </w:pPr>
      <w:r>
        <w:rPr>
          <w:rFonts w:ascii="Times New Roman" w:hAnsi="Times New Roman" w:cs="Times New Roman"/>
          <w:sz w:val="24"/>
          <w:szCs w:val="24"/>
        </w:rPr>
        <w:t>DRI</w:t>
      </w:r>
      <w:r w:rsidR="00775282" w:rsidRPr="00B57B6A">
        <w:rPr>
          <w:rFonts w:ascii="Times New Roman" w:hAnsi="Times New Roman" w:cs="Times New Roman"/>
          <w:sz w:val="24"/>
          <w:szCs w:val="24"/>
        </w:rPr>
        <w:t xml:space="preserve"> presented its findings from </w:t>
      </w:r>
      <w:r>
        <w:rPr>
          <w:rFonts w:ascii="Times New Roman" w:hAnsi="Times New Roman" w:cs="Times New Roman"/>
          <w:sz w:val="24"/>
          <w:szCs w:val="24"/>
        </w:rPr>
        <w:t>recent</w:t>
      </w:r>
      <w:r w:rsidR="00775282" w:rsidRPr="00B57B6A">
        <w:rPr>
          <w:rFonts w:ascii="Times New Roman" w:hAnsi="Times New Roman" w:cs="Times New Roman"/>
          <w:sz w:val="24"/>
          <w:szCs w:val="24"/>
        </w:rPr>
        <w:t xml:space="preserve"> reports on Turkey and Serbia</w:t>
      </w:r>
      <w:r>
        <w:rPr>
          <w:rFonts w:ascii="Times New Roman" w:hAnsi="Times New Roman" w:cs="Times New Roman"/>
          <w:sz w:val="24"/>
          <w:szCs w:val="24"/>
        </w:rPr>
        <w:t>, in which it identified “treatment” practices as a form of torture</w:t>
      </w:r>
      <w:r w:rsidR="00775282" w:rsidRPr="00B57B6A">
        <w:rPr>
          <w:rFonts w:ascii="Times New Roman" w:hAnsi="Times New Roman" w:cs="Times New Roman"/>
          <w:sz w:val="24"/>
          <w:szCs w:val="24"/>
        </w:rPr>
        <w:t>.</w:t>
      </w:r>
      <w:r w:rsidR="0066171B" w:rsidRPr="00B57B6A">
        <w:rPr>
          <w:rFonts w:ascii="Times New Roman" w:hAnsi="Times New Roman" w:cs="Times New Roman"/>
          <w:sz w:val="24"/>
          <w:szCs w:val="24"/>
        </w:rPr>
        <w:t xml:space="preserve"> </w:t>
      </w:r>
      <w:r w:rsidR="00775282" w:rsidRPr="00B57B6A">
        <w:rPr>
          <w:rFonts w:ascii="Times New Roman" w:hAnsi="Times New Roman" w:cs="Times New Roman"/>
          <w:sz w:val="24"/>
          <w:szCs w:val="24"/>
        </w:rPr>
        <w:t>In Turkey, DRI found that psychiatrists used so-called “unmodified” electro</w:t>
      </w:r>
      <w:r w:rsidR="0035049F" w:rsidRPr="00B57B6A">
        <w:rPr>
          <w:rFonts w:ascii="Times New Roman" w:hAnsi="Times New Roman" w:cs="Times New Roman"/>
          <w:sz w:val="24"/>
          <w:szCs w:val="24"/>
        </w:rPr>
        <w:t>-</w:t>
      </w:r>
      <w:r w:rsidR="0099273D" w:rsidRPr="00B57B6A">
        <w:rPr>
          <w:rFonts w:ascii="Times New Roman" w:hAnsi="Times New Roman" w:cs="Times New Roman"/>
          <w:sz w:val="24"/>
          <w:szCs w:val="24"/>
        </w:rPr>
        <w:t>convulsive</w:t>
      </w:r>
      <w:r w:rsidR="00775282" w:rsidRPr="00B57B6A">
        <w:rPr>
          <w:rFonts w:ascii="Times New Roman" w:hAnsi="Times New Roman" w:cs="Times New Roman"/>
          <w:sz w:val="24"/>
          <w:szCs w:val="24"/>
        </w:rPr>
        <w:t xml:space="preserve"> therapy (ECT) – electric shock without anesthesia – on thousands of children and adults admitted to the country’s Bakirk</w:t>
      </w:r>
      <w:r w:rsidR="00D7262A" w:rsidRPr="00B57B6A">
        <w:rPr>
          <w:rFonts w:ascii="Times New Roman" w:hAnsi="Times New Roman" w:cs="Times New Roman"/>
          <w:sz w:val="24"/>
          <w:szCs w:val="24"/>
        </w:rPr>
        <w:t>ö</w:t>
      </w:r>
      <w:r w:rsidR="00775282" w:rsidRPr="00B57B6A">
        <w:rPr>
          <w:rFonts w:ascii="Times New Roman" w:hAnsi="Times New Roman" w:cs="Times New Roman"/>
          <w:sz w:val="24"/>
          <w:szCs w:val="24"/>
        </w:rPr>
        <w:t>y Psychiatric Facility</w:t>
      </w:r>
      <w:r w:rsidR="001A0E87">
        <w:rPr>
          <w:rFonts w:ascii="Times New Roman" w:hAnsi="Times New Roman" w:cs="Times New Roman"/>
          <w:sz w:val="24"/>
          <w:szCs w:val="24"/>
        </w:rPr>
        <w:t xml:space="preserve"> each year</w:t>
      </w:r>
      <w:r w:rsidR="00775282" w:rsidRPr="00B57B6A">
        <w:rPr>
          <w:rFonts w:ascii="Times New Roman" w:hAnsi="Times New Roman" w:cs="Times New Roman"/>
          <w:sz w:val="24"/>
          <w:szCs w:val="24"/>
        </w:rPr>
        <w:t>.</w:t>
      </w:r>
      <w:r w:rsidR="002A37C5" w:rsidRPr="00B57B6A">
        <w:rPr>
          <w:rStyle w:val="FootnoteReference"/>
          <w:rFonts w:ascii="Times New Roman" w:hAnsi="Times New Roman" w:cs="Times New Roman"/>
          <w:sz w:val="24"/>
          <w:szCs w:val="24"/>
        </w:rPr>
        <w:footnoteReference w:id="177"/>
      </w:r>
      <w:r w:rsidR="002A37C5" w:rsidRPr="00B57B6A">
        <w:rPr>
          <w:rFonts w:ascii="Times New Roman" w:hAnsi="Times New Roman" w:cs="Times New Roman"/>
          <w:sz w:val="24"/>
          <w:szCs w:val="24"/>
        </w:rPr>
        <w:t xml:space="preserve"> </w:t>
      </w:r>
      <w:r w:rsidR="00775282" w:rsidRPr="00B57B6A">
        <w:rPr>
          <w:rFonts w:ascii="Times New Roman" w:hAnsi="Times New Roman" w:cs="Times New Roman"/>
          <w:sz w:val="24"/>
          <w:szCs w:val="24"/>
        </w:rPr>
        <w:t xml:space="preserve">In Serbia, DRI </w:t>
      </w:r>
      <w:r w:rsidR="004A4E81" w:rsidRPr="00B57B6A">
        <w:rPr>
          <w:rFonts w:ascii="Times New Roman" w:hAnsi="Times New Roman" w:cs="Times New Roman"/>
          <w:sz w:val="24"/>
          <w:szCs w:val="24"/>
        </w:rPr>
        <w:t>found children</w:t>
      </w:r>
      <w:r w:rsidR="002353AF">
        <w:rPr>
          <w:rFonts w:ascii="Times New Roman" w:hAnsi="Times New Roman" w:cs="Times New Roman"/>
          <w:sz w:val="24"/>
          <w:szCs w:val="24"/>
        </w:rPr>
        <w:t xml:space="preserve"> who were</w:t>
      </w:r>
      <w:r w:rsidR="004A4E81" w:rsidRPr="00B57B6A">
        <w:rPr>
          <w:rFonts w:ascii="Times New Roman" w:hAnsi="Times New Roman" w:cs="Times New Roman"/>
          <w:sz w:val="24"/>
          <w:szCs w:val="24"/>
        </w:rPr>
        <w:t xml:space="preserve"> </w:t>
      </w:r>
      <w:r w:rsidR="00775282" w:rsidRPr="00B57B6A">
        <w:rPr>
          <w:rFonts w:ascii="Times New Roman" w:hAnsi="Times New Roman" w:cs="Times New Roman"/>
          <w:sz w:val="24"/>
          <w:szCs w:val="24"/>
        </w:rPr>
        <w:t xml:space="preserve">tied down </w:t>
      </w:r>
      <w:r w:rsidR="00B069E7" w:rsidRPr="00B57B6A">
        <w:rPr>
          <w:rFonts w:ascii="Times New Roman" w:hAnsi="Times New Roman" w:cs="Times New Roman"/>
          <w:sz w:val="24"/>
          <w:szCs w:val="24"/>
        </w:rPr>
        <w:t>for</w:t>
      </w:r>
      <w:r w:rsidR="004A4E81" w:rsidRPr="00B57B6A">
        <w:rPr>
          <w:rFonts w:ascii="Times New Roman" w:hAnsi="Times New Roman" w:cs="Times New Roman"/>
          <w:sz w:val="24"/>
          <w:szCs w:val="24"/>
        </w:rPr>
        <w:t xml:space="preserve"> years in </w:t>
      </w:r>
      <w:r w:rsidR="00775282" w:rsidRPr="00B57B6A">
        <w:rPr>
          <w:rFonts w:ascii="Times New Roman" w:hAnsi="Times New Roman" w:cs="Times New Roman"/>
          <w:sz w:val="24"/>
          <w:szCs w:val="24"/>
        </w:rPr>
        <w:t>beds or left in the cage-like confines of a crib.</w:t>
      </w:r>
      <w:bookmarkStart w:id="71" w:name="_Ref471311458"/>
      <w:r w:rsidR="00775282" w:rsidRPr="00B57B6A">
        <w:rPr>
          <w:rStyle w:val="FootnoteReference"/>
          <w:rFonts w:ascii="Times New Roman" w:hAnsi="Times New Roman" w:cs="Times New Roman"/>
          <w:sz w:val="24"/>
          <w:szCs w:val="24"/>
        </w:rPr>
        <w:footnoteReference w:id="178"/>
      </w:r>
      <w:bookmarkEnd w:id="71"/>
    </w:p>
    <w:p w14:paraId="62E95A30" w14:textId="440237F8" w:rsidR="00775282" w:rsidRPr="00B57B6A" w:rsidRDefault="00775282"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In calling these practices torture, DRI made the case that acts merely need to be intentional and that the goal of causing pain was not needed to meet the definition of torture.</w:t>
      </w:r>
      <w:r w:rsidRPr="00B57B6A">
        <w:rPr>
          <w:rStyle w:val="FootnoteReference"/>
          <w:rFonts w:ascii="Times New Roman" w:hAnsi="Times New Roman" w:cs="Times New Roman"/>
          <w:sz w:val="24"/>
          <w:szCs w:val="24"/>
        </w:rPr>
        <w:footnoteReference w:id="179"/>
      </w:r>
      <w:r w:rsidR="0066171B" w:rsidRPr="00B57B6A">
        <w:rPr>
          <w:rFonts w:ascii="Times New Roman" w:hAnsi="Times New Roman" w:cs="Times New Roman"/>
          <w:sz w:val="24"/>
          <w:szCs w:val="24"/>
        </w:rPr>
        <w:t xml:space="preserve"> </w:t>
      </w:r>
      <w:r w:rsidR="004E280D">
        <w:rPr>
          <w:rFonts w:ascii="Times New Roman" w:hAnsi="Times New Roman" w:cs="Times New Roman"/>
          <w:sz w:val="24"/>
          <w:szCs w:val="24"/>
        </w:rPr>
        <w:t xml:space="preserve"> DRI noted that Article 1 of </w:t>
      </w:r>
      <w:r w:rsidRPr="00B57B6A">
        <w:rPr>
          <w:rFonts w:ascii="Times New Roman" w:hAnsi="Times New Roman" w:cs="Times New Roman"/>
          <w:sz w:val="24"/>
          <w:szCs w:val="24"/>
        </w:rPr>
        <w:t xml:space="preserve">CAT </w:t>
      </w:r>
      <w:r w:rsidR="00B069E7" w:rsidRPr="00B57B6A">
        <w:rPr>
          <w:rFonts w:ascii="Times New Roman" w:hAnsi="Times New Roman" w:cs="Times New Roman"/>
          <w:sz w:val="24"/>
          <w:szCs w:val="24"/>
        </w:rPr>
        <w:t xml:space="preserve">lists </w:t>
      </w:r>
      <w:r w:rsidRPr="00B57B6A">
        <w:rPr>
          <w:rFonts w:ascii="Times New Roman" w:hAnsi="Times New Roman" w:cs="Times New Roman"/>
          <w:sz w:val="24"/>
          <w:szCs w:val="24"/>
        </w:rPr>
        <w:t xml:space="preserve">“discrimination of any kind” </w:t>
      </w:r>
      <w:r w:rsidR="00B069E7" w:rsidRPr="00B57B6A">
        <w:rPr>
          <w:rFonts w:ascii="Times New Roman" w:hAnsi="Times New Roman" w:cs="Times New Roman"/>
          <w:sz w:val="24"/>
          <w:szCs w:val="24"/>
        </w:rPr>
        <w:t>as a prohibited purpose</w:t>
      </w:r>
      <w:r w:rsidR="004E280D">
        <w:rPr>
          <w:rFonts w:ascii="Times New Roman" w:hAnsi="Times New Roman" w:cs="Times New Roman"/>
          <w:sz w:val="24"/>
          <w:szCs w:val="24"/>
        </w:rPr>
        <w:t>.</w:t>
      </w:r>
      <w:r w:rsidRPr="00B57B6A">
        <w:rPr>
          <w:rFonts w:ascii="Times New Roman" w:hAnsi="Times New Roman" w:cs="Times New Roman"/>
          <w:sz w:val="24"/>
          <w:szCs w:val="24"/>
        </w:rPr>
        <w:t xml:space="preserve"> </w:t>
      </w:r>
      <w:r w:rsidR="004E280D">
        <w:rPr>
          <w:rFonts w:ascii="Times New Roman" w:hAnsi="Times New Roman" w:cs="Times New Roman"/>
          <w:sz w:val="24"/>
          <w:szCs w:val="24"/>
        </w:rPr>
        <w:t xml:space="preserve">Thus, </w:t>
      </w:r>
      <w:r w:rsidRPr="00B57B6A">
        <w:rPr>
          <w:rFonts w:ascii="Times New Roman" w:hAnsi="Times New Roman" w:cs="Times New Roman"/>
          <w:sz w:val="24"/>
          <w:szCs w:val="24"/>
        </w:rPr>
        <w:t xml:space="preserve">it </w:t>
      </w:r>
      <w:r w:rsidR="00901D7A" w:rsidRPr="00B57B6A">
        <w:rPr>
          <w:rFonts w:ascii="Times New Roman" w:hAnsi="Times New Roman" w:cs="Times New Roman"/>
          <w:sz w:val="24"/>
          <w:szCs w:val="24"/>
        </w:rPr>
        <w:t xml:space="preserve">is </w:t>
      </w:r>
      <w:r w:rsidR="00901D7A">
        <w:rPr>
          <w:rFonts w:ascii="Times New Roman" w:hAnsi="Times New Roman" w:cs="Times New Roman"/>
          <w:sz w:val="24"/>
          <w:szCs w:val="24"/>
        </w:rPr>
        <w:lastRenderedPageBreak/>
        <w:t>appropriate</w:t>
      </w:r>
      <w:r w:rsidRPr="00B57B6A">
        <w:rPr>
          <w:rFonts w:ascii="Times New Roman" w:hAnsi="Times New Roman" w:cs="Times New Roman"/>
          <w:sz w:val="24"/>
          <w:szCs w:val="24"/>
        </w:rPr>
        <w:t xml:space="preserve"> to look to other human rights conventions to understand the evolving concept of discrimination.</w:t>
      </w:r>
      <w:r w:rsidRPr="00B57B6A">
        <w:rPr>
          <w:rStyle w:val="FootnoteReference"/>
          <w:rFonts w:ascii="Times New Roman" w:hAnsi="Times New Roman" w:cs="Times New Roman"/>
          <w:sz w:val="24"/>
          <w:szCs w:val="24"/>
        </w:rPr>
        <w:footnoteReference w:id="180"/>
      </w:r>
      <w:r w:rsidR="002A37C5" w:rsidRPr="00B57B6A">
        <w:rPr>
          <w:rFonts w:ascii="Times New Roman" w:hAnsi="Times New Roman" w:cs="Times New Roman"/>
          <w:sz w:val="24"/>
          <w:szCs w:val="24"/>
        </w:rPr>
        <w:t xml:space="preserve"> The CRPD</w:t>
      </w:r>
      <w:r w:rsidRPr="00B57B6A">
        <w:rPr>
          <w:rFonts w:ascii="Times New Roman" w:hAnsi="Times New Roman" w:cs="Times New Roman"/>
          <w:sz w:val="24"/>
          <w:szCs w:val="24"/>
        </w:rPr>
        <w:t xml:space="preserve"> is designed to ensure that people with disabilities are treated equally and have the same opportunities as others – and thus defines discrimination against people with disabilities. If a practice meets all the other requirements of the </w:t>
      </w:r>
      <w:r w:rsidR="002A0BC5">
        <w:rPr>
          <w:rFonts w:ascii="Times New Roman" w:hAnsi="Times New Roman" w:cs="Times New Roman"/>
          <w:sz w:val="24"/>
          <w:szCs w:val="24"/>
        </w:rPr>
        <w:t xml:space="preserve">CAT </w:t>
      </w:r>
      <w:r w:rsidRPr="00B57B6A">
        <w:rPr>
          <w:rFonts w:ascii="Times New Roman" w:hAnsi="Times New Roman" w:cs="Times New Roman"/>
          <w:sz w:val="24"/>
          <w:szCs w:val="24"/>
        </w:rPr>
        <w:t>torture definition, causing “severe pain or suffering” through the “consent or acquiescence of a public official” DRI argued that acts contrary to the CRPD, such as deprivation of liberty in an institutions, could constitute discrimination.</w:t>
      </w:r>
      <w:r w:rsidRPr="00B57B6A">
        <w:rPr>
          <w:rStyle w:val="FootnoteReference"/>
          <w:rFonts w:ascii="Times New Roman" w:hAnsi="Times New Roman" w:cs="Times New Roman"/>
          <w:sz w:val="24"/>
          <w:szCs w:val="24"/>
        </w:rPr>
        <w:footnoteReference w:id="181"/>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The </w:t>
      </w:r>
      <w:r w:rsidR="002A37C5" w:rsidRPr="00B57B6A">
        <w:rPr>
          <w:rFonts w:ascii="Times New Roman" w:hAnsi="Times New Roman" w:cs="Times New Roman"/>
          <w:sz w:val="24"/>
          <w:szCs w:val="24"/>
        </w:rPr>
        <w:t xml:space="preserve">DRI </w:t>
      </w:r>
      <w:r w:rsidRPr="00B57B6A">
        <w:rPr>
          <w:rFonts w:ascii="Times New Roman" w:hAnsi="Times New Roman" w:cs="Times New Roman"/>
          <w:sz w:val="24"/>
          <w:szCs w:val="24"/>
        </w:rPr>
        <w:t xml:space="preserve">report </w:t>
      </w:r>
      <w:r w:rsidR="00187FA7">
        <w:rPr>
          <w:rFonts w:ascii="Times New Roman" w:hAnsi="Times New Roman" w:cs="Times New Roman"/>
          <w:sz w:val="24"/>
          <w:szCs w:val="24"/>
        </w:rPr>
        <w:t>and an accompanying video based on findings in Serbia</w:t>
      </w:r>
      <w:r w:rsidR="00187FA7">
        <w:rPr>
          <w:rStyle w:val="FootnoteReference"/>
          <w:rFonts w:ascii="Times New Roman" w:hAnsi="Times New Roman" w:cs="Times New Roman"/>
          <w:sz w:val="24"/>
          <w:szCs w:val="24"/>
        </w:rPr>
        <w:footnoteReference w:id="182"/>
      </w:r>
      <w:r w:rsidR="00187FA7">
        <w:rPr>
          <w:rFonts w:ascii="Times New Roman" w:hAnsi="Times New Roman" w:cs="Times New Roman"/>
          <w:sz w:val="24"/>
          <w:szCs w:val="24"/>
        </w:rPr>
        <w:t xml:space="preserve"> </w:t>
      </w:r>
      <w:r w:rsidRPr="00B57B6A">
        <w:rPr>
          <w:rFonts w:ascii="Times New Roman" w:hAnsi="Times New Roman" w:cs="Times New Roman"/>
          <w:sz w:val="24"/>
          <w:szCs w:val="24"/>
        </w:rPr>
        <w:t>galvanized the understanding of participants that such practice constituted nothing less than torture:</w:t>
      </w:r>
    </w:p>
    <w:p w14:paraId="2D35C4B2" w14:textId="7D83B497" w:rsidR="00775282" w:rsidRPr="00B57B6A" w:rsidRDefault="00775282" w:rsidP="00B57B6A">
      <w:pPr>
        <w:spacing w:line="240" w:lineRule="auto"/>
        <w:ind w:left="720"/>
        <w:jc w:val="both"/>
        <w:rPr>
          <w:rFonts w:ascii="Times New Roman" w:hAnsi="Times New Roman" w:cs="Times New Roman"/>
          <w:sz w:val="24"/>
          <w:szCs w:val="24"/>
        </w:rPr>
      </w:pPr>
      <w:r w:rsidRPr="00B57B6A">
        <w:rPr>
          <w:rFonts w:ascii="Times New Roman" w:hAnsi="Times New Roman" w:cs="Times New Roman"/>
          <w:sz w:val="24"/>
          <w:szCs w:val="24"/>
        </w:rPr>
        <w:t>Many participants agreed that the situation presented in the video constituted</w:t>
      </w:r>
      <w:r w:rsidR="00B069E7" w:rsidRPr="00B57B6A">
        <w:rPr>
          <w:rFonts w:ascii="Times New Roman" w:hAnsi="Times New Roman" w:cs="Times New Roman"/>
          <w:sz w:val="24"/>
          <w:szCs w:val="24"/>
        </w:rPr>
        <w:t xml:space="preserve"> </w:t>
      </w:r>
      <w:r w:rsidRPr="00B57B6A">
        <w:rPr>
          <w:rFonts w:ascii="Times New Roman" w:hAnsi="Times New Roman" w:cs="Times New Roman"/>
          <w:sz w:val="24"/>
          <w:szCs w:val="24"/>
        </w:rPr>
        <w:t>torture as provided in Article 1 of CAT.</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Further, some noted that situations like the one in the video were not exclusive to Serbian institutions and that it was important to start applying the torture framework fully to the treatments and conditions inflicted on persons with disabilities.”</w:t>
      </w:r>
      <w:r w:rsidRPr="00B57B6A">
        <w:rPr>
          <w:rStyle w:val="FootnoteReference"/>
          <w:rFonts w:ascii="Times New Roman" w:hAnsi="Times New Roman" w:cs="Times New Roman"/>
          <w:sz w:val="24"/>
          <w:szCs w:val="24"/>
        </w:rPr>
        <w:footnoteReference w:id="183"/>
      </w:r>
    </w:p>
    <w:p w14:paraId="02C7B1AA" w14:textId="7216886E" w:rsidR="00775282" w:rsidRPr="00B57B6A" w:rsidRDefault="00775282"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Nowak’s final report</w:t>
      </w:r>
      <w:r w:rsidR="00F050FB">
        <w:rPr>
          <w:rFonts w:ascii="Times New Roman" w:hAnsi="Times New Roman" w:cs="Times New Roman"/>
          <w:sz w:val="24"/>
          <w:szCs w:val="24"/>
        </w:rPr>
        <w:t xml:space="preserve"> in his capacity as Special Rapporteur on Torture</w:t>
      </w:r>
      <w:r w:rsidRPr="00B57B6A">
        <w:rPr>
          <w:rFonts w:ascii="Times New Roman" w:hAnsi="Times New Roman" w:cs="Times New Roman"/>
          <w:sz w:val="24"/>
          <w:szCs w:val="24"/>
        </w:rPr>
        <w:t xml:space="preserve"> finds that “there can be no therapeutic justification for the prolonged use of restraints, which may amount to torture or ill-treatment.”</w:t>
      </w:r>
      <w:bookmarkStart w:id="72" w:name="_Ref471737848"/>
      <w:r w:rsidRPr="00B57B6A">
        <w:rPr>
          <w:rStyle w:val="FootnoteReference"/>
          <w:rFonts w:ascii="Times New Roman" w:hAnsi="Times New Roman" w:cs="Times New Roman"/>
          <w:sz w:val="24"/>
          <w:szCs w:val="24"/>
        </w:rPr>
        <w:footnoteReference w:id="184"/>
      </w:r>
      <w:bookmarkEnd w:id="72"/>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The Nowak report also confirms DRI’s analysis regarding the practice of unmodified ECT as torture or ill-treatment.</w:t>
      </w:r>
      <w:r w:rsidRPr="00B57B6A">
        <w:rPr>
          <w:rStyle w:val="FootnoteReference"/>
          <w:rFonts w:ascii="Times New Roman" w:hAnsi="Times New Roman" w:cs="Times New Roman"/>
          <w:sz w:val="24"/>
          <w:szCs w:val="24"/>
        </w:rPr>
        <w:footnoteReference w:id="185"/>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Nowak</w:t>
      </w:r>
      <w:r w:rsidR="007A52B3">
        <w:rPr>
          <w:rFonts w:ascii="Times New Roman" w:hAnsi="Times New Roman" w:cs="Times New Roman"/>
          <w:sz w:val="24"/>
          <w:szCs w:val="24"/>
        </w:rPr>
        <w:t>’s report does not speak</w:t>
      </w:r>
      <w:r w:rsidRPr="00B57B6A">
        <w:rPr>
          <w:rFonts w:ascii="Times New Roman" w:hAnsi="Times New Roman" w:cs="Times New Roman"/>
          <w:sz w:val="24"/>
          <w:szCs w:val="24"/>
        </w:rPr>
        <w:t xml:space="preserve"> to whether specific practices constitute torture or ill-treatment because</w:t>
      </w:r>
      <w:r w:rsidR="00E961F4" w:rsidRPr="00B57B6A">
        <w:rPr>
          <w:rFonts w:ascii="Times New Roman" w:hAnsi="Times New Roman" w:cs="Times New Roman"/>
          <w:sz w:val="24"/>
          <w:szCs w:val="24"/>
        </w:rPr>
        <w:t xml:space="preserve"> the</w:t>
      </w:r>
      <w:r w:rsidRPr="00B57B6A">
        <w:rPr>
          <w:rFonts w:ascii="Times New Roman" w:hAnsi="Times New Roman" w:cs="Times New Roman"/>
          <w:sz w:val="24"/>
          <w:szCs w:val="24"/>
        </w:rPr>
        <w:t xml:space="preserve"> specific facts of each case are relevant to making this distinction.</w:t>
      </w:r>
      <w:r w:rsidRPr="00B57B6A">
        <w:rPr>
          <w:rStyle w:val="FootnoteReference"/>
          <w:rFonts w:ascii="Times New Roman" w:hAnsi="Times New Roman" w:cs="Times New Roman"/>
          <w:sz w:val="24"/>
          <w:szCs w:val="24"/>
        </w:rPr>
        <w:footnoteReference w:id="186"/>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More important, however, Nowak clarifies that the stated “intent” of the treating professional could not shield a practice from rising to the level of torture:</w:t>
      </w:r>
    </w:p>
    <w:p w14:paraId="41F787CC" w14:textId="69655EA7" w:rsidR="00775282" w:rsidRPr="00B57B6A" w:rsidRDefault="00775282" w:rsidP="00B57B6A">
      <w:pPr>
        <w:spacing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This is particularly relevant in the context of medical treatment of persons with disabilities, where serious violations and discrimination against persons with disabilities may be masked as ‘good intentions’ on the part of health professionals…</w:t>
      </w:r>
      <w:r w:rsidR="00B574DF">
        <w:rPr>
          <w:rFonts w:ascii="Times New Roman" w:hAnsi="Times New Roman" w:cs="Times New Roman"/>
          <w:sz w:val="24"/>
          <w:szCs w:val="24"/>
        </w:rPr>
        <w:t xml:space="preserve"> </w:t>
      </w:r>
      <w:r w:rsidRPr="00B57B6A">
        <w:rPr>
          <w:rFonts w:ascii="Times New Roman" w:hAnsi="Times New Roman" w:cs="Times New Roman"/>
          <w:sz w:val="24"/>
          <w:szCs w:val="24"/>
        </w:rPr>
        <w:t>[T]he requirement of intent in Article 1 of CAT can be effectively implied where a person has been discriminated against on the basis of disability.</w:t>
      </w:r>
      <w:r w:rsidRPr="00B57B6A">
        <w:rPr>
          <w:rStyle w:val="FootnoteReference"/>
          <w:rFonts w:ascii="Times New Roman" w:hAnsi="Times New Roman" w:cs="Times New Roman"/>
          <w:sz w:val="24"/>
          <w:szCs w:val="24"/>
        </w:rPr>
        <w:footnoteReference w:id="187"/>
      </w:r>
      <w:r w:rsidRPr="00B57B6A">
        <w:rPr>
          <w:rFonts w:ascii="Times New Roman" w:hAnsi="Times New Roman" w:cs="Times New Roman"/>
          <w:sz w:val="24"/>
          <w:szCs w:val="24"/>
        </w:rPr>
        <w:t xml:space="preserve"> </w:t>
      </w:r>
    </w:p>
    <w:p w14:paraId="50216A10" w14:textId="193D7EC2" w:rsidR="00775282" w:rsidRPr="00B57B6A" w:rsidRDefault="00775282"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Special Rapporteur</w:t>
      </w:r>
      <w:r w:rsidR="00B018D3" w:rsidRPr="00B57B6A">
        <w:rPr>
          <w:rFonts w:ascii="Times New Roman" w:hAnsi="Times New Roman" w:cs="Times New Roman"/>
          <w:sz w:val="24"/>
          <w:szCs w:val="24"/>
        </w:rPr>
        <w:t xml:space="preserve"> Méndez</w:t>
      </w:r>
      <w:r w:rsidRPr="00B57B6A">
        <w:rPr>
          <w:rFonts w:ascii="Times New Roman" w:hAnsi="Times New Roman" w:cs="Times New Roman"/>
          <w:sz w:val="24"/>
          <w:szCs w:val="24"/>
        </w:rPr>
        <w:t>’</w:t>
      </w:r>
      <w:r w:rsidR="00B018D3" w:rsidRPr="00B57B6A">
        <w:rPr>
          <w:rFonts w:ascii="Times New Roman" w:hAnsi="Times New Roman" w:cs="Times New Roman"/>
          <w:sz w:val="24"/>
          <w:szCs w:val="24"/>
        </w:rPr>
        <w:t>s</w:t>
      </w:r>
      <w:r w:rsidRPr="00B57B6A">
        <w:rPr>
          <w:rFonts w:ascii="Times New Roman" w:hAnsi="Times New Roman" w:cs="Times New Roman"/>
          <w:sz w:val="24"/>
          <w:szCs w:val="24"/>
        </w:rPr>
        <w:t xml:space="preserve"> report on Torture in Healthcare follows Nowak’s analysis, citing the evolving definition of torture as “subject to ongoing reassessment in light of present-day conditions and the changing values of democratic societies.”</w:t>
      </w:r>
      <w:r w:rsidRPr="00B57B6A">
        <w:rPr>
          <w:rStyle w:val="FootnoteReference"/>
          <w:rFonts w:ascii="Times New Roman" w:hAnsi="Times New Roman" w:cs="Times New Roman"/>
          <w:sz w:val="24"/>
          <w:szCs w:val="24"/>
        </w:rPr>
        <w:footnoteReference w:id="188"/>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In both his reports on Torture in </w:t>
      </w:r>
      <w:r w:rsidRPr="00B57B6A">
        <w:rPr>
          <w:rFonts w:ascii="Times New Roman" w:hAnsi="Times New Roman" w:cs="Times New Roman"/>
          <w:sz w:val="24"/>
          <w:szCs w:val="24"/>
        </w:rPr>
        <w:lastRenderedPageBreak/>
        <w:t xml:space="preserve">Health Care and Children in Detention, </w:t>
      </w:r>
      <w:r w:rsidR="00F467E9" w:rsidRPr="00B57B6A">
        <w:rPr>
          <w:rFonts w:ascii="Times New Roman" w:hAnsi="Times New Roman" w:cs="Times New Roman"/>
          <w:sz w:val="24"/>
          <w:szCs w:val="24"/>
        </w:rPr>
        <w:t>Méndez</w:t>
      </w:r>
      <w:r w:rsidRPr="00B57B6A">
        <w:rPr>
          <w:rFonts w:ascii="Times New Roman" w:hAnsi="Times New Roman" w:cs="Times New Roman"/>
          <w:sz w:val="24"/>
          <w:szCs w:val="24"/>
        </w:rPr>
        <w:t xml:space="preserve"> looks to the CRPD and CRC for</w:t>
      </w:r>
      <w:r w:rsidR="00FA1A56">
        <w:rPr>
          <w:rFonts w:ascii="Times New Roman" w:hAnsi="Times New Roman" w:cs="Times New Roman"/>
          <w:sz w:val="24"/>
          <w:szCs w:val="24"/>
        </w:rPr>
        <w:t xml:space="preserve"> a determination of </w:t>
      </w:r>
      <w:r w:rsidR="00781BF5">
        <w:rPr>
          <w:rFonts w:ascii="Times New Roman" w:hAnsi="Times New Roman" w:cs="Times New Roman"/>
          <w:sz w:val="24"/>
          <w:szCs w:val="24"/>
        </w:rPr>
        <w:t xml:space="preserve">intent and </w:t>
      </w:r>
      <w:r w:rsidR="00FA1A56">
        <w:rPr>
          <w:rFonts w:ascii="Times New Roman" w:hAnsi="Times New Roman" w:cs="Times New Roman"/>
          <w:sz w:val="24"/>
          <w:szCs w:val="24"/>
        </w:rPr>
        <w:t>prohibited</w:t>
      </w:r>
      <w:r w:rsidRPr="00B57B6A">
        <w:rPr>
          <w:rFonts w:ascii="Times New Roman" w:hAnsi="Times New Roman" w:cs="Times New Roman"/>
          <w:sz w:val="24"/>
          <w:szCs w:val="24"/>
        </w:rPr>
        <w:t xml:space="preserve"> purpose.</w:t>
      </w:r>
      <w:r w:rsidRPr="00B57B6A">
        <w:rPr>
          <w:rStyle w:val="FootnoteReference"/>
          <w:rFonts w:ascii="Times New Roman" w:hAnsi="Times New Roman" w:cs="Times New Roman"/>
          <w:sz w:val="24"/>
          <w:szCs w:val="24"/>
        </w:rPr>
        <w:t xml:space="preserve"> </w:t>
      </w:r>
      <w:r w:rsidRPr="00B57B6A">
        <w:rPr>
          <w:rStyle w:val="FootnoteReference"/>
          <w:rFonts w:ascii="Times New Roman" w:hAnsi="Times New Roman" w:cs="Times New Roman"/>
          <w:sz w:val="24"/>
          <w:szCs w:val="24"/>
        </w:rPr>
        <w:footnoteReference w:id="189"/>
      </w:r>
    </w:p>
    <w:p w14:paraId="121E324D" w14:textId="7511A502" w:rsidR="004A4E81" w:rsidRPr="00B57B6A" w:rsidRDefault="00B018D3"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Méndez</w:t>
      </w:r>
      <w:r w:rsidRPr="00B57B6A" w:rsidDel="00B018D3">
        <w:rPr>
          <w:rFonts w:ascii="Times New Roman" w:hAnsi="Times New Roman" w:cs="Times New Roman"/>
          <w:sz w:val="24"/>
          <w:szCs w:val="24"/>
        </w:rPr>
        <w:t xml:space="preserve"> </w:t>
      </w:r>
      <w:r w:rsidR="00B85197" w:rsidRPr="00B57B6A">
        <w:rPr>
          <w:rFonts w:ascii="Times New Roman" w:hAnsi="Times New Roman" w:cs="Times New Roman"/>
          <w:sz w:val="24"/>
          <w:szCs w:val="24"/>
        </w:rPr>
        <w:t xml:space="preserve">has </w:t>
      </w:r>
      <w:r w:rsidR="004A4E81" w:rsidRPr="00B57B6A">
        <w:rPr>
          <w:rFonts w:ascii="Times New Roman" w:hAnsi="Times New Roman" w:cs="Times New Roman"/>
          <w:sz w:val="24"/>
          <w:szCs w:val="24"/>
        </w:rPr>
        <w:t>accepted that “intent” can be “effectively implied where a person has been discriminated against on the basis of disability.</w:t>
      </w:r>
      <w:r w:rsidR="00781BF5">
        <w:rPr>
          <w:rFonts w:ascii="Times New Roman" w:hAnsi="Times New Roman" w:cs="Times New Roman"/>
          <w:sz w:val="24"/>
          <w:szCs w:val="24"/>
        </w:rPr>
        <w:t>”</w:t>
      </w:r>
      <w:r w:rsidR="004A4E81" w:rsidRPr="00B57B6A">
        <w:rPr>
          <w:rFonts w:ascii="Times New Roman" w:hAnsi="Times New Roman" w:cs="Times New Roman"/>
          <w:sz w:val="24"/>
          <w:szCs w:val="24"/>
        </w:rPr>
        <w:t xml:space="preserve"> He also added that “purely negligent conduct lacks the intent required under </w:t>
      </w:r>
      <w:r w:rsidRPr="00B57B6A">
        <w:rPr>
          <w:rFonts w:ascii="Times New Roman" w:hAnsi="Times New Roman" w:cs="Times New Roman"/>
          <w:sz w:val="24"/>
          <w:szCs w:val="24"/>
        </w:rPr>
        <w:t>a</w:t>
      </w:r>
      <w:r w:rsidR="004A4E81" w:rsidRPr="00B57B6A">
        <w:rPr>
          <w:rFonts w:ascii="Times New Roman" w:hAnsi="Times New Roman" w:cs="Times New Roman"/>
          <w:sz w:val="24"/>
          <w:szCs w:val="24"/>
        </w:rPr>
        <w:t>rticle 1, but may constitute ill-treatment if it leads to severe pain and suffering.”</w:t>
      </w:r>
      <w:r w:rsidR="004A4E81" w:rsidRPr="00B57B6A">
        <w:rPr>
          <w:rStyle w:val="FootnoteReference"/>
          <w:rFonts w:ascii="Times New Roman" w:hAnsi="Times New Roman" w:cs="Times New Roman"/>
          <w:sz w:val="24"/>
          <w:szCs w:val="24"/>
        </w:rPr>
        <w:footnoteReference w:id="190"/>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Méndez</w:t>
      </w:r>
      <w:r w:rsidRPr="00B57B6A" w:rsidDel="00B018D3">
        <w:rPr>
          <w:rFonts w:ascii="Times New Roman" w:hAnsi="Times New Roman" w:cs="Times New Roman"/>
          <w:sz w:val="24"/>
          <w:szCs w:val="24"/>
        </w:rPr>
        <w:t xml:space="preserve"> </w:t>
      </w:r>
      <w:r w:rsidR="004A4E81" w:rsidRPr="00B57B6A">
        <w:rPr>
          <w:rFonts w:ascii="Times New Roman" w:hAnsi="Times New Roman" w:cs="Times New Roman"/>
          <w:sz w:val="24"/>
          <w:szCs w:val="24"/>
        </w:rPr>
        <w:t>notes that this is particularly relevant for “children deprived of their liberty outside the criminal justice system” as ill-treatment in institutional settings may involve “acts of omission rather than commission, such as emotional disengagement or unsanitary or unsafe conditions, and result from poor policies rather than form an intention to inflict suffering.”</w:t>
      </w:r>
      <w:r w:rsidR="004A4E81" w:rsidRPr="00B57B6A">
        <w:rPr>
          <w:rStyle w:val="FootnoteReference"/>
          <w:rFonts w:ascii="Times New Roman" w:hAnsi="Times New Roman" w:cs="Times New Roman"/>
          <w:sz w:val="24"/>
          <w:szCs w:val="24"/>
        </w:rPr>
        <w:footnoteReference w:id="191"/>
      </w:r>
    </w:p>
    <w:p w14:paraId="5F5CABC5" w14:textId="67349AF0" w:rsidR="00775282" w:rsidRPr="00B57B6A" w:rsidRDefault="00775282"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Acts or conditions that might rise to the level of torture, as strictly defined under CAT </w:t>
      </w:r>
      <w:r w:rsidR="00F121EB" w:rsidRPr="00B57B6A">
        <w:rPr>
          <w:rFonts w:ascii="Times New Roman" w:hAnsi="Times New Roman" w:cs="Times New Roman"/>
          <w:sz w:val="24"/>
          <w:szCs w:val="24"/>
        </w:rPr>
        <w:t>A</w:t>
      </w:r>
      <w:r w:rsidRPr="00B57B6A">
        <w:rPr>
          <w:rFonts w:ascii="Times New Roman" w:hAnsi="Times New Roman" w:cs="Times New Roman"/>
          <w:sz w:val="24"/>
          <w:szCs w:val="24"/>
        </w:rPr>
        <w:t xml:space="preserve">rticle 1, </w:t>
      </w:r>
      <w:r w:rsidR="00B018D3" w:rsidRPr="00B57B6A">
        <w:rPr>
          <w:rFonts w:ascii="Times New Roman" w:hAnsi="Times New Roman" w:cs="Times New Roman"/>
          <w:sz w:val="24"/>
          <w:szCs w:val="24"/>
        </w:rPr>
        <w:t>are</w:t>
      </w:r>
      <w:r w:rsidRPr="00B57B6A">
        <w:rPr>
          <w:rFonts w:ascii="Times New Roman" w:hAnsi="Times New Roman" w:cs="Times New Roman"/>
          <w:sz w:val="24"/>
          <w:szCs w:val="24"/>
        </w:rPr>
        <w:t xml:space="preserve"> a particularly great risk within institutions.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Citing Nowak’s earlier report, </w:t>
      </w:r>
      <w:r w:rsidR="00B018D3" w:rsidRPr="00B57B6A">
        <w:rPr>
          <w:rFonts w:ascii="Times New Roman" w:hAnsi="Times New Roman" w:cs="Times New Roman"/>
          <w:sz w:val="24"/>
          <w:szCs w:val="24"/>
        </w:rPr>
        <w:t>Méndez</w:t>
      </w:r>
      <w:r w:rsidR="00B018D3" w:rsidRPr="00B57B6A" w:rsidDel="00B018D3">
        <w:rPr>
          <w:rFonts w:ascii="Times New Roman" w:hAnsi="Times New Roman" w:cs="Times New Roman"/>
          <w:sz w:val="24"/>
          <w:szCs w:val="24"/>
        </w:rPr>
        <w:t xml:space="preserve"> </w:t>
      </w:r>
      <w:r w:rsidRPr="00B57B6A">
        <w:rPr>
          <w:rFonts w:ascii="Times New Roman" w:hAnsi="Times New Roman" w:cs="Times New Roman"/>
          <w:sz w:val="24"/>
          <w:szCs w:val="24"/>
        </w:rPr>
        <w:t>notes that “[t]orture as the most serious violation of the human right to personal integrity, presupposes a situation of powerlessness, whereby the victim is under the total control of another person.”</w:t>
      </w:r>
      <w:r w:rsidRPr="00B57B6A">
        <w:rPr>
          <w:rStyle w:val="FootnoteReference"/>
          <w:rFonts w:ascii="Times New Roman" w:hAnsi="Times New Roman" w:cs="Times New Roman"/>
          <w:sz w:val="24"/>
          <w:szCs w:val="24"/>
        </w:rPr>
        <w:footnoteReference w:id="192"/>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 The special vulnerability of children must also be taken into account</w:t>
      </w:r>
      <w:r w:rsidR="00A6026A">
        <w:rPr>
          <w:rFonts w:ascii="Times New Roman" w:hAnsi="Times New Roman" w:cs="Times New Roman"/>
          <w:sz w:val="24"/>
          <w:szCs w:val="24"/>
        </w:rPr>
        <w:t>, and</w:t>
      </w:r>
      <w:r w:rsidRPr="00B57B6A">
        <w:rPr>
          <w:rFonts w:ascii="Times New Roman" w:hAnsi="Times New Roman" w:cs="Times New Roman"/>
          <w:sz w:val="24"/>
          <w:szCs w:val="24"/>
        </w:rPr>
        <w:t xml:space="preserve"> the “threshold at which treatment or punishment may be classified as torture or ill-treatment is therefore lower in the case of children, and in particular children deprived of their liberty.”</w:t>
      </w:r>
    </w:p>
    <w:p w14:paraId="09004D6D" w14:textId="4200D76B" w:rsidR="00CB078E" w:rsidRPr="00B57B6A" w:rsidRDefault="00665D9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Identifying a practice as torture is particularly important, because CAT requires that such a practice be criminalized and prosecuted.</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Torture can be hard to prove, and some practices that do not meet this strict level are also protected under the CAT.</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 </w:t>
      </w:r>
      <w:r w:rsidR="00775282" w:rsidRPr="00B57B6A">
        <w:rPr>
          <w:rFonts w:ascii="Times New Roman" w:hAnsi="Times New Roman" w:cs="Times New Roman"/>
          <w:sz w:val="24"/>
          <w:szCs w:val="24"/>
        </w:rPr>
        <w:t xml:space="preserve">In his reports on Torture in Health Care and Children in Detention, </w:t>
      </w:r>
      <w:r w:rsidR="00B018D3" w:rsidRPr="00B57B6A">
        <w:rPr>
          <w:rFonts w:ascii="Times New Roman" w:hAnsi="Times New Roman" w:cs="Times New Roman"/>
          <w:sz w:val="24"/>
          <w:szCs w:val="24"/>
        </w:rPr>
        <w:t>Méndez</w:t>
      </w:r>
      <w:r w:rsidR="00B018D3" w:rsidRPr="00B57B6A" w:rsidDel="00B018D3">
        <w:rPr>
          <w:rFonts w:ascii="Times New Roman" w:hAnsi="Times New Roman" w:cs="Times New Roman"/>
          <w:sz w:val="24"/>
          <w:szCs w:val="24"/>
        </w:rPr>
        <w:t xml:space="preserve"> </w:t>
      </w:r>
      <w:r w:rsidR="00775282" w:rsidRPr="00B57B6A">
        <w:rPr>
          <w:rFonts w:ascii="Times New Roman" w:hAnsi="Times New Roman" w:cs="Times New Roman"/>
          <w:sz w:val="24"/>
          <w:szCs w:val="24"/>
        </w:rPr>
        <w:t xml:space="preserve">takes aim at stopping “ill-treatment” or practices </w:t>
      </w:r>
      <w:r w:rsidR="008D1356" w:rsidRPr="00B57B6A">
        <w:rPr>
          <w:rFonts w:ascii="Times New Roman" w:hAnsi="Times New Roman" w:cs="Times New Roman"/>
          <w:sz w:val="24"/>
          <w:szCs w:val="24"/>
        </w:rPr>
        <w:t xml:space="preserve">that </w:t>
      </w:r>
      <w:r w:rsidR="00775282" w:rsidRPr="00B57B6A">
        <w:rPr>
          <w:rFonts w:ascii="Times New Roman" w:hAnsi="Times New Roman" w:cs="Times New Roman"/>
          <w:sz w:val="24"/>
          <w:szCs w:val="24"/>
        </w:rPr>
        <w:t>qualify somewhere on the scale of “torture or ill-treatment.”</w:t>
      </w:r>
      <w:r w:rsidR="0066171B" w:rsidRPr="00B57B6A">
        <w:rPr>
          <w:rFonts w:ascii="Times New Roman" w:hAnsi="Times New Roman" w:cs="Times New Roman"/>
          <w:sz w:val="24"/>
          <w:szCs w:val="24"/>
        </w:rPr>
        <w:t xml:space="preserve"> </w:t>
      </w:r>
      <w:r w:rsidR="00775282" w:rsidRPr="00B57B6A">
        <w:rPr>
          <w:rFonts w:ascii="Times New Roman" w:hAnsi="Times New Roman" w:cs="Times New Roman"/>
          <w:sz w:val="24"/>
          <w:szCs w:val="24"/>
        </w:rPr>
        <w:t xml:space="preserve">While not conflating torture and ill-treatment, the </w:t>
      </w:r>
      <w:r w:rsidR="00B018D3" w:rsidRPr="00B57B6A">
        <w:rPr>
          <w:rFonts w:ascii="Times New Roman" w:hAnsi="Times New Roman" w:cs="Times New Roman"/>
          <w:sz w:val="24"/>
          <w:szCs w:val="24"/>
        </w:rPr>
        <w:t>Méndez</w:t>
      </w:r>
      <w:r w:rsidR="00B018D3" w:rsidRPr="00B57B6A" w:rsidDel="00B018D3">
        <w:rPr>
          <w:rFonts w:ascii="Times New Roman" w:hAnsi="Times New Roman" w:cs="Times New Roman"/>
          <w:sz w:val="24"/>
          <w:szCs w:val="24"/>
        </w:rPr>
        <w:t xml:space="preserve"> </w:t>
      </w:r>
      <w:r w:rsidR="00CA732A" w:rsidRPr="00B57B6A">
        <w:rPr>
          <w:rFonts w:ascii="Times New Roman" w:hAnsi="Times New Roman" w:cs="Times New Roman"/>
          <w:sz w:val="24"/>
          <w:szCs w:val="24"/>
        </w:rPr>
        <w:t>R</w:t>
      </w:r>
      <w:r w:rsidR="00775282" w:rsidRPr="00B57B6A">
        <w:rPr>
          <w:rFonts w:ascii="Times New Roman" w:hAnsi="Times New Roman" w:cs="Times New Roman"/>
          <w:sz w:val="24"/>
          <w:szCs w:val="24"/>
        </w:rPr>
        <w:t>eport on Children in Detention refers jointly to both of them as “torture or ill-treatment” with regard to most of the obligatio</w:t>
      </w:r>
      <w:r w:rsidRPr="00B57B6A">
        <w:rPr>
          <w:rFonts w:ascii="Times New Roman" w:hAnsi="Times New Roman" w:cs="Times New Roman"/>
          <w:sz w:val="24"/>
          <w:szCs w:val="24"/>
        </w:rPr>
        <w:t xml:space="preserve">ns </w:t>
      </w:r>
      <w:r w:rsidR="006060CF">
        <w:rPr>
          <w:rFonts w:ascii="Times New Roman" w:hAnsi="Times New Roman" w:cs="Times New Roman"/>
          <w:sz w:val="24"/>
          <w:szCs w:val="24"/>
        </w:rPr>
        <w:t xml:space="preserve">outlined </w:t>
      </w:r>
      <w:r w:rsidRPr="00B57B6A">
        <w:rPr>
          <w:rFonts w:ascii="Times New Roman" w:hAnsi="Times New Roman" w:cs="Times New Roman"/>
          <w:sz w:val="24"/>
          <w:szCs w:val="24"/>
        </w:rPr>
        <w:t>in the report.</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F</w:t>
      </w:r>
      <w:r w:rsidR="00775282" w:rsidRPr="00B57B6A">
        <w:rPr>
          <w:rFonts w:ascii="Times New Roman" w:hAnsi="Times New Roman" w:cs="Times New Roman"/>
          <w:sz w:val="24"/>
          <w:szCs w:val="24"/>
        </w:rPr>
        <w:t>ollowing the guidance established in CAT’s General Comment #2</w:t>
      </w:r>
      <w:r w:rsidR="004E280D">
        <w:rPr>
          <w:rFonts w:ascii="Times New Roman" w:hAnsi="Times New Roman" w:cs="Times New Roman"/>
          <w:sz w:val="24"/>
          <w:szCs w:val="24"/>
        </w:rPr>
        <w:t xml:space="preserve">, </w:t>
      </w:r>
      <w:r w:rsidR="004E280D" w:rsidRPr="00B57B6A">
        <w:rPr>
          <w:rFonts w:ascii="Times New Roman" w:hAnsi="Times New Roman" w:cs="Times New Roman"/>
          <w:sz w:val="24"/>
          <w:szCs w:val="24"/>
        </w:rPr>
        <w:t xml:space="preserve">Méndez </w:t>
      </w:r>
      <w:r w:rsidR="004E280D">
        <w:rPr>
          <w:rFonts w:ascii="Times New Roman" w:hAnsi="Times New Roman" w:cs="Times New Roman"/>
          <w:sz w:val="24"/>
          <w:szCs w:val="24"/>
        </w:rPr>
        <w:t xml:space="preserve">points out that </w:t>
      </w:r>
      <w:r w:rsidR="00775282" w:rsidRPr="00B57B6A">
        <w:rPr>
          <w:rFonts w:ascii="Times New Roman" w:hAnsi="Times New Roman" w:cs="Times New Roman"/>
          <w:sz w:val="24"/>
          <w:szCs w:val="24"/>
        </w:rPr>
        <w:t>“conditions that give rise to ill-treatment frequently facilitate torture.”</w:t>
      </w:r>
      <w:r w:rsidR="00775282" w:rsidRPr="00B57B6A">
        <w:rPr>
          <w:rStyle w:val="FootnoteReference"/>
          <w:rFonts w:ascii="Times New Roman" w:hAnsi="Times New Roman" w:cs="Times New Roman"/>
          <w:sz w:val="24"/>
          <w:szCs w:val="24"/>
        </w:rPr>
        <w:footnoteReference w:id="193"/>
      </w:r>
      <w:r w:rsidR="0066171B" w:rsidRPr="00B57B6A">
        <w:rPr>
          <w:rFonts w:ascii="Times New Roman" w:hAnsi="Times New Roman" w:cs="Times New Roman"/>
          <w:sz w:val="24"/>
          <w:szCs w:val="24"/>
        </w:rPr>
        <w:t xml:space="preserve"> </w:t>
      </w:r>
      <w:r w:rsidR="00775282" w:rsidRPr="00B57B6A">
        <w:rPr>
          <w:rFonts w:ascii="Times New Roman" w:hAnsi="Times New Roman" w:cs="Times New Roman"/>
          <w:sz w:val="24"/>
          <w:szCs w:val="24"/>
        </w:rPr>
        <w:t xml:space="preserve"> CAT creates a duty to prevent and to provide a remedy and reparation for both torture and ill-treatment “so that it is immaterial for this purpose whether abuses in health-care settings meet the criteria for torture </w:t>
      </w:r>
      <w:r w:rsidR="00775282" w:rsidRPr="00B57B6A">
        <w:rPr>
          <w:rFonts w:ascii="Times New Roman" w:hAnsi="Times New Roman" w:cs="Times New Roman"/>
          <w:i/>
          <w:sz w:val="24"/>
          <w:szCs w:val="24"/>
        </w:rPr>
        <w:t>per se</w:t>
      </w:r>
      <w:r w:rsidR="00775282" w:rsidRPr="00B57B6A">
        <w:rPr>
          <w:rFonts w:ascii="Times New Roman" w:hAnsi="Times New Roman" w:cs="Times New Roman"/>
          <w:sz w:val="24"/>
          <w:szCs w:val="24"/>
        </w:rPr>
        <w:t>.</w:t>
      </w:r>
      <w:r w:rsidR="0066171B" w:rsidRPr="00B57B6A">
        <w:rPr>
          <w:rFonts w:ascii="Times New Roman" w:hAnsi="Times New Roman" w:cs="Times New Roman"/>
          <w:sz w:val="24"/>
          <w:szCs w:val="24"/>
        </w:rPr>
        <w:t xml:space="preserve"> </w:t>
      </w:r>
      <w:r w:rsidR="00775282" w:rsidRPr="00B57B6A">
        <w:rPr>
          <w:rFonts w:ascii="Times New Roman" w:hAnsi="Times New Roman" w:cs="Times New Roman"/>
          <w:sz w:val="24"/>
          <w:szCs w:val="24"/>
        </w:rPr>
        <w:t>This framework opens new possibilities for holistic social processes that foster appreciation for the lived experience of persons, including measures of satisfaction of non-repetition…”</w:t>
      </w:r>
      <w:r w:rsidR="00775282" w:rsidRPr="00B57B6A">
        <w:rPr>
          <w:rStyle w:val="FootnoteReference"/>
          <w:rFonts w:ascii="Times New Roman" w:hAnsi="Times New Roman" w:cs="Times New Roman"/>
          <w:sz w:val="24"/>
          <w:szCs w:val="24"/>
        </w:rPr>
        <w:footnoteReference w:id="194"/>
      </w:r>
    </w:p>
    <w:p w14:paraId="65875A2B" w14:textId="7B79193B" w:rsidR="00240737" w:rsidRPr="00B57B6A" w:rsidRDefault="00665D9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As noted above, the </w:t>
      </w:r>
      <w:r w:rsidR="00240737" w:rsidRPr="00B57B6A">
        <w:rPr>
          <w:rFonts w:ascii="Times New Roman" w:hAnsi="Times New Roman" w:cs="Times New Roman"/>
          <w:sz w:val="24"/>
          <w:szCs w:val="24"/>
        </w:rPr>
        <w:t>Special Rapporteur</w:t>
      </w:r>
      <w:r w:rsidRPr="00B57B6A">
        <w:rPr>
          <w:rFonts w:ascii="Times New Roman" w:hAnsi="Times New Roman" w:cs="Times New Roman"/>
          <w:sz w:val="24"/>
          <w:szCs w:val="24"/>
        </w:rPr>
        <w:t xml:space="preserve">’s </w:t>
      </w:r>
      <w:r w:rsidR="00240737" w:rsidRPr="00B57B6A">
        <w:rPr>
          <w:rFonts w:ascii="Times New Roman" w:hAnsi="Times New Roman" w:cs="Times New Roman"/>
          <w:sz w:val="24"/>
          <w:szCs w:val="24"/>
        </w:rPr>
        <w:t>call for limiting unnecessary detention of children</w:t>
      </w:r>
      <w:r w:rsidRPr="00B57B6A">
        <w:rPr>
          <w:rFonts w:ascii="Times New Roman" w:hAnsi="Times New Roman" w:cs="Times New Roman"/>
          <w:sz w:val="24"/>
          <w:szCs w:val="24"/>
        </w:rPr>
        <w:t xml:space="preserve"> is based on the</w:t>
      </w:r>
      <w:r w:rsidR="00240737" w:rsidRPr="00B57B6A">
        <w:rPr>
          <w:rFonts w:ascii="Times New Roman" w:hAnsi="Times New Roman" w:cs="Times New Roman"/>
          <w:sz w:val="24"/>
          <w:szCs w:val="24"/>
        </w:rPr>
        <w:t xml:space="preserve"> risk of torture created by such detention</w:t>
      </w:r>
      <w:r w:rsidRPr="00B57B6A">
        <w:rPr>
          <w:rFonts w:ascii="Times New Roman" w:hAnsi="Times New Roman" w:cs="Times New Roman"/>
          <w:sz w:val="24"/>
          <w:szCs w:val="24"/>
        </w:rPr>
        <w:t xml:space="preserve">. The </w:t>
      </w:r>
      <w:r w:rsidR="00240737" w:rsidRPr="00B57B6A">
        <w:rPr>
          <w:rFonts w:ascii="Times New Roman" w:hAnsi="Times New Roman" w:cs="Times New Roman"/>
          <w:sz w:val="24"/>
          <w:szCs w:val="24"/>
        </w:rPr>
        <w:t>Children in Detention Report never states that the pain and sufferin</w:t>
      </w:r>
      <w:r w:rsidRPr="00B57B6A">
        <w:rPr>
          <w:rFonts w:ascii="Times New Roman" w:hAnsi="Times New Roman" w:cs="Times New Roman"/>
          <w:sz w:val="24"/>
          <w:szCs w:val="24"/>
        </w:rPr>
        <w:t xml:space="preserve">g caused by detention need </w:t>
      </w:r>
      <w:r w:rsidR="00240737" w:rsidRPr="00B57B6A">
        <w:rPr>
          <w:rFonts w:ascii="Times New Roman" w:hAnsi="Times New Roman" w:cs="Times New Roman"/>
          <w:sz w:val="24"/>
          <w:szCs w:val="24"/>
        </w:rPr>
        <w:t>amount to torture.</w:t>
      </w:r>
      <w:r w:rsidR="0066171B" w:rsidRPr="00B57B6A">
        <w:rPr>
          <w:rFonts w:ascii="Times New Roman" w:hAnsi="Times New Roman" w:cs="Times New Roman"/>
          <w:sz w:val="24"/>
          <w:szCs w:val="24"/>
        </w:rPr>
        <w:t xml:space="preserve"> </w:t>
      </w:r>
      <w:r w:rsidR="00240737" w:rsidRPr="00B57B6A">
        <w:rPr>
          <w:rFonts w:ascii="Times New Roman" w:hAnsi="Times New Roman" w:cs="Times New Roman"/>
          <w:sz w:val="24"/>
          <w:szCs w:val="24"/>
        </w:rPr>
        <w:t xml:space="preserve"> In the 2013 report on Torture in Healthcare, </w:t>
      </w:r>
      <w:r w:rsidRPr="00B57B6A">
        <w:rPr>
          <w:rFonts w:ascii="Times New Roman" w:hAnsi="Times New Roman" w:cs="Times New Roman"/>
          <w:sz w:val="24"/>
          <w:szCs w:val="24"/>
        </w:rPr>
        <w:t xml:space="preserve">however, </w:t>
      </w:r>
      <w:r w:rsidR="00465015" w:rsidRPr="00B57B6A">
        <w:rPr>
          <w:rFonts w:ascii="Times New Roman" w:hAnsi="Times New Roman" w:cs="Times New Roman"/>
          <w:sz w:val="24"/>
          <w:szCs w:val="24"/>
        </w:rPr>
        <w:t xml:space="preserve">Méndez </w:t>
      </w:r>
      <w:r w:rsidRPr="00B57B6A">
        <w:rPr>
          <w:rFonts w:ascii="Times New Roman" w:hAnsi="Times New Roman" w:cs="Times New Roman"/>
          <w:sz w:val="24"/>
          <w:szCs w:val="24"/>
        </w:rPr>
        <w:t xml:space="preserve">recognizes </w:t>
      </w:r>
      <w:r w:rsidR="00CB078E" w:rsidRPr="00B57B6A">
        <w:rPr>
          <w:rFonts w:ascii="Times New Roman" w:hAnsi="Times New Roman" w:cs="Times New Roman"/>
          <w:sz w:val="24"/>
          <w:szCs w:val="24"/>
        </w:rPr>
        <w:t xml:space="preserve">the possibility </w:t>
      </w:r>
      <w:r w:rsidRPr="00B57B6A">
        <w:rPr>
          <w:rFonts w:ascii="Times New Roman" w:hAnsi="Times New Roman" w:cs="Times New Roman"/>
          <w:sz w:val="24"/>
          <w:szCs w:val="24"/>
        </w:rPr>
        <w:t>that segregation itself may constitute ill-treatment or torture</w:t>
      </w:r>
      <w:r w:rsidR="00240737" w:rsidRPr="00B57B6A">
        <w:rPr>
          <w:rFonts w:ascii="Times New Roman" w:hAnsi="Times New Roman" w:cs="Times New Roman"/>
          <w:sz w:val="24"/>
          <w:szCs w:val="24"/>
        </w:rPr>
        <w:t xml:space="preserve">. To evaluate whether detention violates the torture convention, </w:t>
      </w:r>
      <w:r w:rsidR="00465015" w:rsidRPr="00B57B6A">
        <w:rPr>
          <w:rFonts w:ascii="Times New Roman" w:hAnsi="Times New Roman" w:cs="Times New Roman"/>
          <w:sz w:val="24"/>
          <w:szCs w:val="24"/>
        </w:rPr>
        <w:t>Méndez</w:t>
      </w:r>
      <w:r w:rsidR="00465015" w:rsidRPr="00B57B6A" w:rsidDel="00465015">
        <w:rPr>
          <w:rFonts w:ascii="Times New Roman" w:hAnsi="Times New Roman" w:cs="Times New Roman"/>
          <w:sz w:val="24"/>
          <w:szCs w:val="24"/>
        </w:rPr>
        <w:t xml:space="preserve"> </w:t>
      </w:r>
      <w:r w:rsidR="00240737" w:rsidRPr="00B57B6A">
        <w:rPr>
          <w:rFonts w:ascii="Times New Roman" w:hAnsi="Times New Roman" w:cs="Times New Roman"/>
          <w:sz w:val="24"/>
          <w:szCs w:val="24"/>
        </w:rPr>
        <w:t>says that it is necessary to examine “factors such as fear and anxiety produced by indefinite detention [and] the segregation from family and community.”</w:t>
      </w:r>
      <w:r w:rsidR="0066171B" w:rsidRPr="00B57B6A">
        <w:rPr>
          <w:rFonts w:ascii="Times New Roman" w:hAnsi="Times New Roman" w:cs="Times New Roman"/>
          <w:sz w:val="24"/>
          <w:szCs w:val="24"/>
        </w:rPr>
        <w:t xml:space="preserve"> </w:t>
      </w:r>
      <w:r w:rsidR="00CB078E" w:rsidRPr="00B57B6A">
        <w:rPr>
          <w:rFonts w:ascii="Times New Roman" w:hAnsi="Times New Roman" w:cs="Times New Roman"/>
          <w:sz w:val="24"/>
          <w:szCs w:val="24"/>
        </w:rPr>
        <w:t xml:space="preserve">It is unfortunate that </w:t>
      </w:r>
      <w:r w:rsidR="00465015" w:rsidRPr="00B57B6A">
        <w:rPr>
          <w:rFonts w:ascii="Times New Roman" w:hAnsi="Times New Roman" w:cs="Times New Roman"/>
          <w:sz w:val="24"/>
          <w:szCs w:val="24"/>
        </w:rPr>
        <w:lastRenderedPageBreak/>
        <w:t>Méndez</w:t>
      </w:r>
      <w:r w:rsidR="00465015" w:rsidRPr="00B57B6A" w:rsidDel="00465015">
        <w:rPr>
          <w:rFonts w:ascii="Times New Roman" w:hAnsi="Times New Roman" w:cs="Times New Roman"/>
          <w:sz w:val="24"/>
          <w:szCs w:val="24"/>
        </w:rPr>
        <w:t xml:space="preserve"> </w:t>
      </w:r>
      <w:r w:rsidR="00CB078E" w:rsidRPr="00B57B6A">
        <w:rPr>
          <w:rFonts w:ascii="Times New Roman" w:hAnsi="Times New Roman" w:cs="Times New Roman"/>
          <w:sz w:val="24"/>
          <w:szCs w:val="24"/>
        </w:rPr>
        <w:t>did not develop this idea in either his 2013 or 2015 report to provide further guidance as to exactly when detention</w:t>
      </w:r>
      <w:r w:rsidR="0099273D">
        <w:rPr>
          <w:rFonts w:ascii="Times New Roman" w:hAnsi="Times New Roman" w:cs="Times New Roman"/>
          <w:sz w:val="24"/>
          <w:szCs w:val="24"/>
        </w:rPr>
        <w:t xml:space="preserve"> is</w:t>
      </w:r>
      <w:r w:rsidR="00CB078E" w:rsidRPr="00B57B6A">
        <w:rPr>
          <w:rFonts w:ascii="Times New Roman" w:hAnsi="Times New Roman" w:cs="Times New Roman"/>
          <w:sz w:val="24"/>
          <w:szCs w:val="24"/>
        </w:rPr>
        <w:t xml:space="preserve"> </w:t>
      </w:r>
      <w:r w:rsidR="00062E1C">
        <w:rPr>
          <w:rFonts w:ascii="Times New Roman" w:hAnsi="Times New Roman" w:cs="Times New Roman"/>
          <w:sz w:val="24"/>
          <w:szCs w:val="24"/>
        </w:rPr>
        <w:t xml:space="preserve">in </w:t>
      </w:r>
      <w:r w:rsidR="00CB078E" w:rsidRPr="00B57B6A">
        <w:rPr>
          <w:rFonts w:ascii="Times New Roman" w:hAnsi="Times New Roman" w:cs="Times New Roman"/>
          <w:sz w:val="24"/>
          <w:szCs w:val="24"/>
        </w:rPr>
        <w:t>i</w:t>
      </w:r>
      <w:r w:rsidR="00062E1C">
        <w:rPr>
          <w:rFonts w:ascii="Times New Roman" w:hAnsi="Times New Roman" w:cs="Times New Roman"/>
          <w:sz w:val="24"/>
          <w:szCs w:val="24"/>
        </w:rPr>
        <w:t>t</w:t>
      </w:r>
      <w:r w:rsidR="00CB078E" w:rsidRPr="00B57B6A">
        <w:rPr>
          <w:rFonts w:ascii="Times New Roman" w:hAnsi="Times New Roman" w:cs="Times New Roman"/>
          <w:sz w:val="24"/>
          <w:szCs w:val="24"/>
        </w:rPr>
        <w:t>s</w:t>
      </w:r>
      <w:r w:rsidR="00062E1C">
        <w:rPr>
          <w:rFonts w:ascii="Times New Roman" w:hAnsi="Times New Roman" w:cs="Times New Roman"/>
          <w:sz w:val="24"/>
          <w:szCs w:val="24"/>
        </w:rPr>
        <w:t>elf</w:t>
      </w:r>
      <w:r w:rsidR="00CB078E" w:rsidRPr="00B57B6A">
        <w:rPr>
          <w:rFonts w:ascii="Times New Roman" w:hAnsi="Times New Roman" w:cs="Times New Roman"/>
          <w:sz w:val="24"/>
          <w:szCs w:val="24"/>
        </w:rPr>
        <w:t xml:space="preserve"> torture.</w:t>
      </w:r>
      <w:r w:rsidR="0066171B" w:rsidRPr="00B57B6A">
        <w:rPr>
          <w:rFonts w:ascii="Times New Roman" w:hAnsi="Times New Roman" w:cs="Times New Roman"/>
          <w:sz w:val="24"/>
          <w:szCs w:val="24"/>
        </w:rPr>
        <w:t xml:space="preserve"> </w:t>
      </w:r>
      <w:r w:rsidR="00CB078E" w:rsidRPr="00B57B6A">
        <w:rPr>
          <w:rFonts w:ascii="Times New Roman" w:hAnsi="Times New Roman" w:cs="Times New Roman"/>
          <w:sz w:val="24"/>
          <w:szCs w:val="24"/>
        </w:rPr>
        <w:t xml:space="preserve">This possibility, however, demonstrates the important link between protecting against torture within institutions and protecting the right to community integration. If the emotional pain and suffering caused by segregation itself constitutes ill-treatment or torture, then there </w:t>
      </w:r>
      <w:r w:rsidR="002161F7">
        <w:rPr>
          <w:rFonts w:ascii="Times New Roman" w:hAnsi="Times New Roman" w:cs="Times New Roman"/>
          <w:sz w:val="24"/>
          <w:szCs w:val="24"/>
        </w:rPr>
        <w:t xml:space="preserve">can be </w:t>
      </w:r>
      <w:r w:rsidR="00CB078E" w:rsidRPr="00B57B6A">
        <w:rPr>
          <w:rFonts w:ascii="Times New Roman" w:hAnsi="Times New Roman" w:cs="Times New Roman"/>
          <w:sz w:val="24"/>
          <w:szCs w:val="24"/>
        </w:rPr>
        <w:t>no remedy against abuse in an institution other than community integration.</w:t>
      </w:r>
    </w:p>
    <w:p w14:paraId="20ABFF5B" w14:textId="57B5BE4E" w:rsidR="00CB078E" w:rsidRPr="00B57B6A" w:rsidRDefault="00CB078E" w:rsidP="00EB136D">
      <w:pPr>
        <w:pStyle w:val="Heading1"/>
        <w:numPr>
          <w:ilvl w:val="0"/>
          <w:numId w:val="35"/>
        </w:numPr>
        <w:spacing w:line="240" w:lineRule="auto"/>
        <w:rPr>
          <w:rFonts w:ascii="Times New Roman" w:hAnsi="Times New Roman" w:cs="Times New Roman"/>
          <w:sz w:val="24"/>
          <w:szCs w:val="24"/>
        </w:rPr>
      </w:pPr>
      <w:bookmarkStart w:id="73" w:name="_Toc471468482"/>
      <w:r w:rsidRPr="00B57B6A">
        <w:rPr>
          <w:rFonts w:ascii="Times New Roman" w:hAnsi="Times New Roman" w:cs="Times New Roman"/>
          <w:sz w:val="24"/>
          <w:szCs w:val="24"/>
        </w:rPr>
        <w:t>Protecting against torture</w:t>
      </w:r>
      <w:r w:rsidR="00C7588D" w:rsidRPr="00B57B6A">
        <w:rPr>
          <w:rFonts w:ascii="Times New Roman" w:hAnsi="Times New Roman" w:cs="Times New Roman"/>
          <w:sz w:val="24"/>
          <w:szCs w:val="24"/>
        </w:rPr>
        <w:t xml:space="preserve"> within institutions</w:t>
      </w:r>
      <w:bookmarkEnd w:id="73"/>
    </w:p>
    <w:p w14:paraId="42212936" w14:textId="165FE82B" w:rsidR="00F052BC" w:rsidRPr="00B57B6A" w:rsidRDefault="00F74BAE"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Many of the dangers of institutions, and the psychological pain and suffering that results from segregation, are inherent to placement in institutions.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Yet some acts </w:t>
      </w:r>
      <w:r w:rsidR="00465015" w:rsidRPr="00B57B6A">
        <w:rPr>
          <w:rFonts w:ascii="Times New Roman" w:hAnsi="Times New Roman" w:cs="Times New Roman"/>
          <w:sz w:val="24"/>
          <w:szCs w:val="24"/>
        </w:rPr>
        <w:t>o</w:t>
      </w:r>
      <w:r w:rsidRPr="00B57B6A">
        <w:rPr>
          <w:rFonts w:ascii="Times New Roman" w:hAnsi="Times New Roman" w:cs="Times New Roman"/>
          <w:sz w:val="24"/>
          <w:szCs w:val="24"/>
        </w:rPr>
        <w:t xml:space="preserve">f ill-treatment or torture within </w:t>
      </w:r>
      <w:r w:rsidR="00F052BC" w:rsidRPr="00B57B6A">
        <w:rPr>
          <w:rFonts w:ascii="Times New Roman" w:hAnsi="Times New Roman" w:cs="Times New Roman"/>
          <w:sz w:val="24"/>
          <w:szCs w:val="24"/>
        </w:rPr>
        <w:t xml:space="preserve">institutions can be </w:t>
      </w:r>
      <w:r w:rsidRPr="00B57B6A">
        <w:rPr>
          <w:rFonts w:ascii="Times New Roman" w:hAnsi="Times New Roman" w:cs="Times New Roman"/>
          <w:sz w:val="24"/>
          <w:szCs w:val="24"/>
        </w:rPr>
        <w:t>stopped by changes in law, policy, or practice.</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 Where such practices </w:t>
      </w:r>
      <w:r w:rsidR="00DD7CDE">
        <w:rPr>
          <w:rFonts w:ascii="Times New Roman" w:hAnsi="Times New Roman" w:cs="Times New Roman"/>
          <w:sz w:val="24"/>
          <w:szCs w:val="24"/>
        </w:rPr>
        <w:t xml:space="preserve">within institutions </w:t>
      </w:r>
      <w:r w:rsidRPr="00B57B6A">
        <w:rPr>
          <w:rFonts w:ascii="Times New Roman" w:hAnsi="Times New Roman" w:cs="Times New Roman"/>
          <w:sz w:val="24"/>
          <w:szCs w:val="24"/>
        </w:rPr>
        <w:t>induce severe pain, governments are obliged to act immediately to remedy those abuses.</w:t>
      </w:r>
      <w:r w:rsidR="0066171B" w:rsidRPr="00B57B6A">
        <w:rPr>
          <w:rFonts w:ascii="Times New Roman" w:hAnsi="Times New Roman" w:cs="Times New Roman"/>
          <w:sz w:val="24"/>
          <w:szCs w:val="24"/>
        </w:rPr>
        <w:t xml:space="preserve"> </w:t>
      </w:r>
      <w:r w:rsidR="00F052BC" w:rsidRPr="00B57B6A">
        <w:rPr>
          <w:rFonts w:ascii="Times New Roman" w:hAnsi="Times New Roman" w:cs="Times New Roman"/>
          <w:sz w:val="24"/>
          <w:szCs w:val="24"/>
        </w:rPr>
        <w:t xml:space="preserve"> Protecting children within institutions presents a complex array of challenges.</w:t>
      </w:r>
    </w:p>
    <w:p w14:paraId="54BD7812" w14:textId="72529CFC" w:rsidR="00403DF9" w:rsidRPr="00B57B6A" w:rsidRDefault="00403DF9" w:rsidP="00EB136D">
      <w:pPr>
        <w:pStyle w:val="Heading2"/>
        <w:numPr>
          <w:ilvl w:val="0"/>
          <w:numId w:val="32"/>
        </w:numPr>
        <w:spacing w:line="240" w:lineRule="auto"/>
        <w:rPr>
          <w:rFonts w:ascii="Times New Roman" w:hAnsi="Times New Roman" w:cs="Times New Roman"/>
          <w:sz w:val="24"/>
          <w:szCs w:val="24"/>
        </w:rPr>
      </w:pPr>
      <w:bookmarkStart w:id="74" w:name="_Toc471468483"/>
      <w:r w:rsidRPr="00B57B6A">
        <w:rPr>
          <w:rFonts w:ascii="Times New Roman" w:hAnsi="Times New Roman" w:cs="Times New Roman"/>
          <w:sz w:val="24"/>
          <w:szCs w:val="24"/>
        </w:rPr>
        <w:t>Danger of Perpetuating Segregation</w:t>
      </w:r>
      <w:bookmarkEnd w:id="74"/>
    </w:p>
    <w:p w14:paraId="456DEF76" w14:textId="614F0FCB" w:rsidR="00CB078E" w:rsidRPr="00B57B6A" w:rsidRDefault="00AF3DB8" w:rsidP="00B57B6A">
      <w:pPr>
        <w:spacing w:line="240" w:lineRule="auto"/>
        <w:jc w:val="both"/>
        <w:rPr>
          <w:rFonts w:ascii="Times New Roman" w:hAnsi="Times New Roman" w:cs="Times New Roman"/>
          <w:b/>
          <w:sz w:val="24"/>
          <w:szCs w:val="24"/>
        </w:rPr>
      </w:pPr>
      <w:r w:rsidRPr="00B57B6A">
        <w:rPr>
          <w:rFonts w:ascii="Times New Roman" w:hAnsi="Times New Roman" w:cs="Times New Roman"/>
          <w:sz w:val="24"/>
          <w:szCs w:val="24"/>
        </w:rPr>
        <w:t>Even if particular abuse</w:t>
      </w:r>
      <w:r w:rsidR="00DD7CDE">
        <w:rPr>
          <w:rFonts w:ascii="Times New Roman" w:hAnsi="Times New Roman" w:cs="Times New Roman"/>
          <w:sz w:val="24"/>
          <w:szCs w:val="24"/>
        </w:rPr>
        <w:t>s</w:t>
      </w:r>
      <w:r w:rsidRPr="00B57B6A">
        <w:rPr>
          <w:rFonts w:ascii="Times New Roman" w:hAnsi="Times New Roman" w:cs="Times New Roman"/>
          <w:sz w:val="24"/>
          <w:szCs w:val="24"/>
        </w:rPr>
        <w:t xml:space="preserve"> within an institution can be </w:t>
      </w:r>
      <w:r w:rsidR="00A067D3">
        <w:rPr>
          <w:rFonts w:ascii="Times New Roman" w:hAnsi="Times New Roman" w:cs="Times New Roman"/>
          <w:sz w:val="24"/>
          <w:szCs w:val="24"/>
        </w:rPr>
        <w:t>remedied</w:t>
      </w:r>
      <w:r w:rsidRPr="00B57B6A">
        <w:rPr>
          <w:rFonts w:ascii="Times New Roman" w:hAnsi="Times New Roman" w:cs="Times New Roman"/>
          <w:sz w:val="24"/>
          <w:szCs w:val="24"/>
        </w:rPr>
        <w:t xml:space="preserve">, </w:t>
      </w:r>
      <w:r w:rsidR="00B069E7" w:rsidRPr="00B57B6A">
        <w:rPr>
          <w:rFonts w:ascii="Times New Roman" w:hAnsi="Times New Roman" w:cs="Times New Roman"/>
          <w:sz w:val="24"/>
          <w:szCs w:val="24"/>
        </w:rPr>
        <w:t>t</w:t>
      </w:r>
      <w:r w:rsidRPr="00B57B6A">
        <w:rPr>
          <w:rFonts w:ascii="Times New Roman" w:hAnsi="Times New Roman" w:cs="Times New Roman"/>
          <w:sz w:val="24"/>
          <w:szCs w:val="24"/>
        </w:rPr>
        <w:t xml:space="preserve">he </w:t>
      </w:r>
      <w:r w:rsidR="00B069E7" w:rsidRPr="00B57B6A">
        <w:rPr>
          <w:rFonts w:ascii="Times New Roman" w:hAnsi="Times New Roman" w:cs="Times New Roman"/>
          <w:sz w:val="24"/>
          <w:szCs w:val="24"/>
        </w:rPr>
        <w:t xml:space="preserve">broader impact of </w:t>
      </w:r>
      <w:r w:rsidR="00907A28">
        <w:rPr>
          <w:rFonts w:ascii="Times New Roman" w:hAnsi="Times New Roman" w:cs="Times New Roman"/>
          <w:sz w:val="24"/>
          <w:szCs w:val="24"/>
        </w:rPr>
        <w:t>such</w:t>
      </w:r>
      <w:r w:rsidR="00B069E7" w:rsidRPr="00B57B6A">
        <w:rPr>
          <w:rFonts w:ascii="Times New Roman" w:hAnsi="Times New Roman" w:cs="Times New Roman"/>
          <w:sz w:val="24"/>
          <w:szCs w:val="24"/>
        </w:rPr>
        <w:t xml:space="preserve"> </w:t>
      </w:r>
      <w:r w:rsidRPr="00B57B6A">
        <w:rPr>
          <w:rFonts w:ascii="Times New Roman" w:hAnsi="Times New Roman" w:cs="Times New Roman"/>
          <w:sz w:val="24"/>
          <w:szCs w:val="24"/>
        </w:rPr>
        <w:t>response</w:t>
      </w:r>
      <w:r w:rsidR="00907A28">
        <w:rPr>
          <w:rFonts w:ascii="Times New Roman" w:hAnsi="Times New Roman" w:cs="Times New Roman"/>
          <w:sz w:val="24"/>
          <w:szCs w:val="24"/>
        </w:rPr>
        <w:t>s</w:t>
      </w:r>
      <w:r w:rsidRPr="00B57B6A">
        <w:rPr>
          <w:rFonts w:ascii="Times New Roman" w:hAnsi="Times New Roman" w:cs="Times New Roman"/>
          <w:sz w:val="24"/>
          <w:szCs w:val="24"/>
        </w:rPr>
        <w:t xml:space="preserve"> creates an inherent dilemma for governments.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E</w:t>
      </w:r>
      <w:r w:rsidR="00C7588D" w:rsidRPr="00B57B6A">
        <w:rPr>
          <w:rFonts w:ascii="Times New Roman" w:hAnsi="Times New Roman" w:cs="Times New Roman"/>
          <w:sz w:val="24"/>
          <w:szCs w:val="24"/>
        </w:rPr>
        <w:t xml:space="preserve">fforts to </w:t>
      </w:r>
      <w:r w:rsidR="00CB078E" w:rsidRPr="00B57B6A">
        <w:rPr>
          <w:rFonts w:ascii="Times New Roman" w:hAnsi="Times New Roman" w:cs="Times New Roman"/>
          <w:sz w:val="24"/>
          <w:szCs w:val="24"/>
        </w:rPr>
        <w:t>stop torture by improving</w:t>
      </w:r>
      <w:r w:rsidRPr="00B57B6A">
        <w:rPr>
          <w:rFonts w:ascii="Times New Roman" w:hAnsi="Times New Roman" w:cs="Times New Roman"/>
          <w:sz w:val="24"/>
          <w:szCs w:val="24"/>
        </w:rPr>
        <w:t xml:space="preserve"> conditions in institutions may hav</w:t>
      </w:r>
      <w:r w:rsidR="00C7588D" w:rsidRPr="00B57B6A">
        <w:rPr>
          <w:rFonts w:ascii="Times New Roman" w:hAnsi="Times New Roman" w:cs="Times New Roman"/>
          <w:sz w:val="24"/>
          <w:szCs w:val="24"/>
        </w:rPr>
        <w:t xml:space="preserve">e the unintended consequence of reinforcing </w:t>
      </w:r>
      <w:r w:rsidRPr="00B57B6A">
        <w:rPr>
          <w:rFonts w:ascii="Times New Roman" w:hAnsi="Times New Roman" w:cs="Times New Roman"/>
          <w:sz w:val="24"/>
          <w:szCs w:val="24"/>
        </w:rPr>
        <w:t xml:space="preserve">a </w:t>
      </w:r>
      <w:r w:rsidR="00C7588D" w:rsidRPr="00B57B6A">
        <w:rPr>
          <w:rFonts w:ascii="Times New Roman" w:hAnsi="Times New Roman" w:cs="Times New Roman"/>
          <w:sz w:val="24"/>
          <w:szCs w:val="24"/>
        </w:rPr>
        <w:t xml:space="preserve">segregated </w:t>
      </w:r>
      <w:r w:rsidRPr="00B57B6A">
        <w:rPr>
          <w:rFonts w:ascii="Times New Roman" w:hAnsi="Times New Roman" w:cs="Times New Roman"/>
          <w:sz w:val="24"/>
          <w:szCs w:val="24"/>
        </w:rPr>
        <w:t xml:space="preserve">service </w:t>
      </w:r>
      <w:r w:rsidR="00C7588D" w:rsidRPr="00B57B6A">
        <w:rPr>
          <w:rFonts w:ascii="Times New Roman" w:hAnsi="Times New Roman" w:cs="Times New Roman"/>
          <w:sz w:val="24"/>
          <w:szCs w:val="24"/>
        </w:rPr>
        <w:t>system</w:t>
      </w:r>
      <w:r w:rsidRPr="00B57B6A">
        <w:rPr>
          <w:rFonts w:ascii="Times New Roman" w:hAnsi="Times New Roman" w:cs="Times New Roman"/>
          <w:sz w:val="24"/>
          <w:szCs w:val="24"/>
        </w:rPr>
        <w:t>.</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w:t>
      </w:r>
      <w:r w:rsidR="00C7588D" w:rsidRPr="00B57B6A">
        <w:rPr>
          <w:rFonts w:ascii="Times New Roman" w:hAnsi="Times New Roman" w:cs="Times New Roman"/>
          <w:sz w:val="24"/>
          <w:szCs w:val="24"/>
        </w:rPr>
        <w:t>he experience of Romania after the fall of Ceau</w:t>
      </w:r>
      <w:r w:rsidR="008D1356" w:rsidRPr="00B57B6A">
        <w:rPr>
          <w:rFonts w:ascii="Times New Roman" w:hAnsi="Times New Roman" w:cs="Times New Roman"/>
          <w:sz w:val="24"/>
          <w:szCs w:val="24"/>
        </w:rPr>
        <w:t>ş</w:t>
      </w:r>
      <w:r w:rsidR="00C7588D" w:rsidRPr="00B57B6A">
        <w:rPr>
          <w:rFonts w:ascii="Times New Roman" w:hAnsi="Times New Roman" w:cs="Times New Roman"/>
          <w:sz w:val="24"/>
          <w:szCs w:val="24"/>
        </w:rPr>
        <w:t>escu looms large over the child protection field</w:t>
      </w:r>
      <w:r w:rsidR="004C042E">
        <w:rPr>
          <w:rFonts w:ascii="Times New Roman" w:hAnsi="Times New Roman" w:cs="Times New Roman"/>
          <w:sz w:val="24"/>
          <w:szCs w:val="24"/>
        </w:rPr>
        <w:t>,</w:t>
      </w:r>
      <w:r w:rsidR="00C7588D" w:rsidRPr="00B57B6A">
        <w:rPr>
          <w:rFonts w:ascii="Times New Roman" w:hAnsi="Times New Roman" w:cs="Times New Roman"/>
          <w:sz w:val="24"/>
          <w:szCs w:val="24"/>
        </w:rPr>
        <w:t xml:space="preserve"> as international efforts bring an end to abusive conditions in institutions</w:t>
      </w:r>
      <w:r w:rsidR="008D1356" w:rsidRPr="00B57B6A">
        <w:rPr>
          <w:rFonts w:ascii="Times New Roman" w:hAnsi="Times New Roman" w:cs="Times New Roman"/>
          <w:sz w:val="24"/>
          <w:szCs w:val="24"/>
        </w:rPr>
        <w:t xml:space="preserve"> </w:t>
      </w:r>
      <w:r w:rsidR="00C7588D" w:rsidRPr="00B57B6A">
        <w:rPr>
          <w:rFonts w:ascii="Times New Roman" w:hAnsi="Times New Roman" w:cs="Times New Roman"/>
          <w:sz w:val="24"/>
          <w:szCs w:val="24"/>
        </w:rPr>
        <w:t>created new incentives for poor families to place children in institutions.</w:t>
      </w:r>
      <w:r w:rsidR="00C7588D" w:rsidRPr="00B57B6A">
        <w:rPr>
          <w:rFonts w:ascii="Times New Roman" w:hAnsi="Times New Roman" w:cs="Times New Roman"/>
          <w:sz w:val="24"/>
          <w:szCs w:val="24"/>
          <w:vertAlign w:val="superscript"/>
        </w:rPr>
        <w:footnoteReference w:id="195"/>
      </w:r>
      <w:r w:rsidR="0066171B" w:rsidRPr="00B57B6A">
        <w:rPr>
          <w:rFonts w:ascii="Times New Roman" w:hAnsi="Times New Roman" w:cs="Times New Roman"/>
          <w:sz w:val="24"/>
          <w:szCs w:val="24"/>
        </w:rPr>
        <w:t xml:space="preserve"> </w:t>
      </w:r>
      <w:r w:rsidR="00C7588D" w:rsidRPr="00B57B6A">
        <w:rPr>
          <w:rFonts w:ascii="Times New Roman" w:hAnsi="Times New Roman" w:cs="Times New Roman"/>
          <w:sz w:val="24"/>
          <w:szCs w:val="24"/>
        </w:rPr>
        <w:t xml:space="preserve"> As a result, in the six years after the fall of Ceau</w:t>
      </w:r>
      <w:r w:rsidR="00B069E7" w:rsidRPr="00B57B6A">
        <w:rPr>
          <w:rFonts w:ascii="Times New Roman" w:hAnsi="Times New Roman" w:cs="Times New Roman"/>
          <w:sz w:val="24"/>
          <w:szCs w:val="24"/>
        </w:rPr>
        <w:t>ş</w:t>
      </w:r>
      <w:r w:rsidR="00C7588D" w:rsidRPr="00B57B6A">
        <w:rPr>
          <w:rFonts w:ascii="Times New Roman" w:hAnsi="Times New Roman" w:cs="Times New Roman"/>
          <w:sz w:val="24"/>
          <w:szCs w:val="24"/>
        </w:rPr>
        <w:t xml:space="preserve">escu from 1989 to 1995, there was a “dramatic” increase in the </w:t>
      </w:r>
      <w:r w:rsidR="004C042E">
        <w:rPr>
          <w:rFonts w:ascii="Times New Roman" w:hAnsi="Times New Roman" w:cs="Times New Roman"/>
          <w:sz w:val="24"/>
          <w:szCs w:val="24"/>
        </w:rPr>
        <w:t xml:space="preserve">population of </w:t>
      </w:r>
      <w:r w:rsidR="00C7588D" w:rsidRPr="00B57B6A">
        <w:rPr>
          <w:rFonts w:ascii="Times New Roman" w:hAnsi="Times New Roman" w:cs="Times New Roman"/>
          <w:sz w:val="24"/>
          <w:szCs w:val="24"/>
        </w:rPr>
        <w:t>Romania’s orphanages.</w:t>
      </w:r>
      <w:r w:rsidR="00C7588D" w:rsidRPr="00B57B6A">
        <w:rPr>
          <w:rFonts w:ascii="Times New Roman" w:hAnsi="Times New Roman" w:cs="Times New Roman"/>
          <w:sz w:val="24"/>
          <w:szCs w:val="24"/>
          <w:vertAlign w:val="superscript"/>
        </w:rPr>
        <w:t xml:space="preserve"> </w:t>
      </w:r>
      <w:bookmarkStart w:id="75" w:name="_Ref464221178"/>
      <w:r w:rsidR="00C7588D" w:rsidRPr="00B57B6A">
        <w:rPr>
          <w:rFonts w:ascii="Times New Roman" w:hAnsi="Times New Roman" w:cs="Times New Roman"/>
          <w:sz w:val="24"/>
          <w:szCs w:val="24"/>
          <w:vertAlign w:val="superscript"/>
        </w:rPr>
        <w:footnoteReference w:id="196"/>
      </w:r>
      <w:bookmarkEnd w:id="75"/>
      <w:r w:rsidR="0066171B" w:rsidRPr="00B57B6A">
        <w:rPr>
          <w:rFonts w:ascii="Times New Roman" w:hAnsi="Times New Roman" w:cs="Times New Roman"/>
          <w:sz w:val="24"/>
          <w:szCs w:val="24"/>
        </w:rPr>
        <w:t xml:space="preserve"> </w:t>
      </w:r>
      <w:r w:rsidR="00C7588D" w:rsidRPr="00B57B6A">
        <w:rPr>
          <w:rFonts w:ascii="Times New Roman" w:hAnsi="Times New Roman" w:cs="Times New Roman"/>
          <w:sz w:val="24"/>
          <w:szCs w:val="24"/>
        </w:rPr>
        <w:t xml:space="preserve"> It was during this time that researchers conducting the Bucharest </w:t>
      </w:r>
      <w:r w:rsidR="007114B6" w:rsidRPr="00B57B6A">
        <w:rPr>
          <w:rFonts w:ascii="Times New Roman" w:hAnsi="Times New Roman" w:cs="Times New Roman"/>
          <w:sz w:val="24"/>
          <w:szCs w:val="24"/>
        </w:rPr>
        <w:t>Early Intervention Study</w:t>
      </w:r>
      <w:r w:rsidR="00016E6A">
        <w:rPr>
          <w:rFonts w:ascii="Times New Roman" w:hAnsi="Times New Roman" w:cs="Times New Roman"/>
          <w:sz w:val="24"/>
          <w:szCs w:val="24"/>
        </w:rPr>
        <w:t xml:space="preserve"> </w:t>
      </w:r>
      <w:r w:rsidR="00C7588D" w:rsidRPr="00B57B6A">
        <w:rPr>
          <w:rFonts w:ascii="Times New Roman" w:hAnsi="Times New Roman" w:cs="Times New Roman"/>
          <w:sz w:val="24"/>
          <w:szCs w:val="24"/>
        </w:rPr>
        <w:t>found that even cleaned up and well-staffed institutions wer</w:t>
      </w:r>
      <w:r w:rsidR="00250815" w:rsidRPr="00B57B6A">
        <w:rPr>
          <w:rFonts w:ascii="Times New Roman" w:hAnsi="Times New Roman" w:cs="Times New Roman"/>
          <w:sz w:val="24"/>
          <w:szCs w:val="24"/>
        </w:rPr>
        <w:t>e still dangerous for children.</w:t>
      </w:r>
      <w:r w:rsidR="00016E6A" w:rsidRPr="00B57B6A">
        <w:rPr>
          <w:rStyle w:val="FootnoteReference"/>
          <w:rFonts w:ascii="Times New Roman" w:hAnsi="Times New Roman" w:cs="Times New Roman"/>
          <w:sz w:val="24"/>
          <w:szCs w:val="24"/>
        </w:rPr>
        <w:footnoteReference w:id="197"/>
      </w:r>
      <w:r w:rsidR="00016E6A">
        <w:rPr>
          <w:rFonts w:ascii="Times New Roman" w:hAnsi="Times New Roman" w:cs="Times New Roman"/>
          <w:sz w:val="24"/>
          <w:szCs w:val="24"/>
        </w:rPr>
        <w:t xml:space="preserve"> </w:t>
      </w:r>
    </w:p>
    <w:p w14:paraId="434718FE" w14:textId="3C613A43" w:rsidR="00F052BC" w:rsidRPr="00B57B6A" w:rsidRDefault="00CB078E"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After many years of fruitless new investments in institutions, UNICEF described a “growing global consensus” that priority should be given to preventing new institutionalization rather than </w:t>
      </w:r>
      <w:r w:rsidR="00FA6632">
        <w:rPr>
          <w:rFonts w:ascii="Times New Roman" w:hAnsi="Times New Roman" w:cs="Times New Roman"/>
          <w:sz w:val="24"/>
          <w:szCs w:val="24"/>
        </w:rPr>
        <w:t xml:space="preserve">to </w:t>
      </w:r>
      <w:r w:rsidRPr="00B57B6A">
        <w:rPr>
          <w:rFonts w:ascii="Times New Roman" w:hAnsi="Times New Roman" w:cs="Times New Roman"/>
          <w:sz w:val="24"/>
          <w:szCs w:val="24"/>
        </w:rPr>
        <w:t xml:space="preserve">what </w:t>
      </w:r>
      <w:r w:rsidR="00FA6632">
        <w:rPr>
          <w:rFonts w:ascii="Times New Roman" w:hAnsi="Times New Roman" w:cs="Times New Roman"/>
          <w:sz w:val="24"/>
          <w:szCs w:val="24"/>
        </w:rPr>
        <w:t>are</w:t>
      </w:r>
      <w:r w:rsidRPr="00B57B6A">
        <w:rPr>
          <w:rFonts w:ascii="Times New Roman" w:hAnsi="Times New Roman" w:cs="Times New Roman"/>
          <w:sz w:val="24"/>
          <w:szCs w:val="24"/>
        </w:rPr>
        <w:t xml:space="preserve"> called “sporadic or isolated” efforts to protect against abuses within facilities.</w:t>
      </w:r>
      <w:r w:rsidRPr="00B57B6A">
        <w:rPr>
          <w:rStyle w:val="FootnoteReference"/>
          <w:rFonts w:ascii="Times New Roman" w:hAnsi="Times New Roman" w:cs="Times New Roman"/>
          <w:sz w:val="24"/>
          <w:szCs w:val="24"/>
        </w:rPr>
        <w:footnoteReference w:id="198"/>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 The </w:t>
      </w:r>
      <w:r w:rsidRPr="00B57B6A">
        <w:rPr>
          <w:rFonts w:ascii="Times New Roman" w:hAnsi="Times New Roman" w:cs="Times New Roman"/>
          <w:sz w:val="24"/>
          <w:szCs w:val="24"/>
        </w:rPr>
        <w:lastRenderedPageBreak/>
        <w:t>Guidelines on Alternative Care reflect this new consensus contributing an invaluable shift toward deinstitutionalization and improvement of care in the community.</w:t>
      </w:r>
      <w:r w:rsidRPr="00B57B6A">
        <w:rPr>
          <w:rStyle w:val="FootnoteReference"/>
          <w:rFonts w:ascii="Times New Roman" w:hAnsi="Times New Roman" w:cs="Times New Roman"/>
          <w:sz w:val="24"/>
          <w:szCs w:val="24"/>
        </w:rPr>
        <w:footnoteReference w:id="199"/>
      </w:r>
      <w:r w:rsidR="0066171B" w:rsidRPr="00B57B6A">
        <w:rPr>
          <w:rFonts w:ascii="Times New Roman" w:hAnsi="Times New Roman" w:cs="Times New Roman"/>
          <w:sz w:val="24"/>
          <w:szCs w:val="24"/>
        </w:rPr>
        <w:t xml:space="preserve"> </w:t>
      </w:r>
      <w:r w:rsidR="00111D9A" w:rsidRPr="00B57B6A">
        <w:rPr>
          <w:rFonts w:ascii="Times New Roman" w:hAnsi="Times New Roman" w:cs="Times New Roman"/>
          <w:sz w:val="24"/>
          <w:szCs w:val="24"/>
        </w:rPr>
        <w:t xml:space="preserve"> </w:t>
      </w:r>
    </w:p>
    <w:p w14:paraId="1CE6500C" w14:textId="28B4B496" w:rsidR="002726EF" w:rsidRPr="00B57B6A" w:rsidRDefault="00B52CE3"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w:t>
      </w:r>
      <w:r w:rsidR="00C32F22">
        <w:rPr>
          <w:rFonts w:ascii="Times New Roman" w:hAnsi="Times New Roman" w:cs="Times New Roman"/>
          <w:sz w:val="24"/>
          <w:szCs w:val="24"/>
        </w:rPr>
        <w:t>Torture S</w:t>
      </w:r>
      <w:r w:rsidR="00307CD2">
        <w:rPr>
          <w:rFonts w:ascii="Times New Roman" w:hAnsi="Times New Roman" w:cs="Times New Roman"/>
          <w:sz w:val="24"/>
          <w:szCs w:val="24"/>
        </w:rPr>
        <w:t>tandard</w:t>
      </w:r>
      <w:r w:rsidRPr="00B57B6A">
        <w:rPr>
          <w:rFonts w:ascii="Times New Roman" w:hAnsi="Times New Roman" w:cs="Times New Roman"/>
          <w:sz w:val="24"/>
          <w:szCs w:val="24"/>
        </w:rPr>
        <w:t xml:space="preserve"> does not allow governments to delay protections or sacrifice any individual, even when broader policies are working toward the progressive enforcement of </w:t>
      </w:r>
      <w:r w:rsidR="00307CD2">
        <w:rPr>
          <w:rFonts w:ascii="Times New Roman" w:hAnsi="Times New Roman" w:cs="Times New Roman"/>
          <w:sz w:val="24"/>
          <w:szCs w:val="24"/>
        </w:rPr>
        <w:t xml:space="preserve">human </w:t>
      </w:r>
      <w:r w:rsidRPr="00B57B6A">
        <w:rPr>
          <w:rFonts w:ascii="Times New Roman" w:hAnsi="Times New Roman" w:cs="Times New Roman"/>
          <w:sz w:val="24"/>
          <w:szCs w:val="24"/>
        </w:rPr>
        <w:t>rights protections. This legal principle is easier to state</w:t>
      </w:r>
      <w:r w:rsidR="00B069E7"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than it is to enforce. </w:t>
      </w:r>
      <w:r w:rsidR="00B069E7" w:rsidRPr="00B57B6A">
        <w:rPr>
          <w:rFonts w:ascii="Times New Roman" w:hAnsi="Times New Roman" w:cs="Times New Roman"/>
          <w:sz w:val="24"/>
          <w:szCs w:val="24"/>
        </w:rPr>
        <w:t xml:space="preserve"> </w:t>
      </w:r>
      <w:r w:rsidRPr="00B57B6A">
        <w:rPr>
          <w:rFonts w:ascii="Times New Roman" w:hAnsi="Times New Roman" w:cs="Times New Roman"/>
          <w:sz w:val="24"/>
          <w:szCs w:val="24"/>
        </w:rPr>
        <w:t>Some of the challenges of enforcing</w:t>
      </w:r>
      <w:r w:rsidR="00307CD2">
        <w:rPr>
          <w:rFonts w:ascii="Times New Roman" w:hAnsi="Times New Roman" w:cs="Times New Roman"/>
          <w:sz w:val="24"/>
          <w:szCs w:val="24"/>
        </w:rPr>
        <w:t xml:space="preserve"> human</w:t>
      </w:r>
      <w:r w:rsidRPr="00B57B6A">
        <w:rPr>
          <w:rFonts w:ascii="Times New Roman" w:hAnsi="Times New Roman" w:cs="Times New Roman"/>
          <w:sz w:val="24"/>
          <w:szCs w:val="24"/>
        </w:rPr>
        <w:t xml:space="preserve"> rights </w:t>
      </w:r>
      <w:r w:rsidR="00B069E7" w:rsidRPr="00B57B6A">
        <w:rPr>
          <w:rFonts w:ascii="Times New Roman" w:hAnsi="Times New Roman" w:cs="Times New Roman"/>
          <w:sz w:val="24"/>
          <w:szCs w:val="24"/>
        </w:rPr>
        <w:t xml:space="preserve">in an institution </w:t>
      </w:r>
      <w:r w:rsidRPr="00B57B6A">
        <w:rPr>
          <w:rFonts w:ascii="Times New Roman" w:hAnsi="Times New Roman" w:cs="Times New Roman"/>
          <w:sz w:val="24"/>
          <w:szCs w:val="24"/>
        </w:rPr>
        <w:t>are described below.</w:t>
      </w:r>
    </w:p>
    <w:p w14:paraId="5E38333D" w14:textId="3780A706" w:rsidR="00B505AF" w:rsidRPr="00B57B6A" w:rsidRDefault="002726EF" w:rsidP="00EB136D">
      <w:pPr>
        <w:pStyle w:val="Heading2"/>
        <w:numPr>
          <w:ilvl w:val="0"/>
          <w:numId w:val="32"/>
        </w:numPr>
        <w:spacing w:line="240" w:lineRule="auto"/>
        <w:rPr>
          <w:rFonts w:ascii="Times New Roman" w:hAnsi="Times New Roman" w:cs="Times New Roman"/>
          <w:sz w:val="24"/>
          <w:szCs w:val="24"/>
        </w:rPr>
      </w:pPr>
      <w:bookmarkStart w:id="76" w:name="_Toc471468484"/>
      <w:r w:rsidRPr="00B57B6A">
        <w:rPr>
          <w:rFonts w:ascii="Times New Roman" w:hAnsi="Times New Roman" w:cs="Times New Roman"/>
          <w:sz w:val="24"/>
          <w:szCs w:val="24"/>
        </w:rPr>
        <w:t>Immediate enforcement needed</w:t>
      </w:r>
      <w:bookmarkEnd w:id="76"/>
    </w:p>
    <w:p w14:paraId="5D816ED1" w14:textId="6BE5DE6B" w:rsidR="002726EF" w:rsidRPr="00B57B6A" w:rsidRDefault="002726EF" w:rsidP="00B57B6A">
      <w:pPr>
        <w:tabs>
          <w:tab w:val="left" w:pos="4230"/>
        </w:tabs>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shift of resources and attention toward the creation of community alternatives is, as a general rule, a valuable trend. Yet there is a great danger of overlooking basic rights protections for children who happen to be left behind in institutions. Disability Rights International’s findings from the Repub</w:t>
      </w:r>
      <w:r w:rsidR="00710344" w:rsidRPr="00B57B6A">
        <w:rPr>
          <w:rFonts w:ascii="Times New Roman" w:hAnsi="Times New Roman" w:cs="Times New Roman"/>
          <w:sz w:val="24"/>
          <w:szCs w:val="24"/>
        </w:rPr>
        <w:t xml:space="preserve">lic of Georgia </w:t>
      </w:r>
      <w:r w:rsidRPr="00B57B6A">
        <w:rPr>
          <w:rFonts w:ascii="Times New Roman" w:hAnsi="Times New Roman" w:cs="Times New Roman"/>
          <w:sz w:val="24"/>
          <w:szCs w:val="24"/>
        </w:rPr>
        <w:t>demonstrate this risk.</w:t>
      </w:r>
      <w:r w:rsidRPr="00B57B6A">
        <w:rPr>
          <w:rStyle w:val="FootnoteReference"/>
          <w:rFonts w:ascii="Times New Roman" w:hAnsi="Times New Roman" w:cs="Times New Roman"/>
          <w:sz w:val="24"/>
          <w:szCs w:val="24"/>
        </w:rPr>
        <w:footnoteReference w:id="200"/>
      </w:r>
      <w:r w:rsidR="008130C7" w:rsidRPr="00B57B6A">
        <w:rPr>
          <w:rFonts w:ascii="Times New Roman" w:hAnsi="Times New Roman" w:cs="Times New Roman"/>
          <w:sz w:val="24"/>
          <w:szCs w:val="24"/>
        </w:rPr>
        <w:t xml:space="preserve"> </w:t>
      </w:r>
    </w:p>
    <w:p w14:paraId="479F645F" w14:textId="5164A84F" w:rsidR="003D00C5" w:rsidRPr="00B57B6A" w:rsidRDefault="008130C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As described in Part IV, </w:t>
      </w:r>
      <w:r w:rsidR="00B505AF" w:rsidRPr="00B57B6A">
        <w:rPr>
          <w:rFonts w:ascii="Times New Roman" w:hAnsi="Times New Roman" w:cs="Times New Roman"/>
          <w:sz w:val="24"/>
          <w:szCs w:val="24"/>
        </w:rPr>
        <w:t>the international community supported Georgia’s reforms</w:t>
      </w:r>
      <w:r w:rsidR="00111D9A" w:rsidRPr="00B57B6A">
        <w:rPr>
          <w:rFonts w:ascii="Times New Roman" w:hAnsi="Times New Roman" w:cs="Times New Roman"/>
          <w:sz w:val="24"/>
          <w:szCs w:val="24"/>
        </w:rPr>
        <w:t xml:space="preserve"> </w:t>
      </w:r>
      <w:r w:rsidR="00710344" w:rsidRPr="00B57B6A">
        <w:rPr>
          <w:rFonts w:ascii="Times New Roman" w:hAnsi="Times New Roman" w:cs="Times New Roman"/>
          <w:sz w:val="24"/>
          <w:szCs w:val="24"/>
        </w:rPr>
        <w:t xml:space="preserve">to </w:t>
      </w:r>
      <w:r w:rsidR="00111D9A" w:rsidRPr="00B57B6A">
        <w:rPr>
          <w:rFonts w:ascii="Times New Roman" w:hAnsi="Times New Roman" w:cs="Times New Roman"/>
          <w:sz w:val="24"/>
          <w:szCs w:val="24"/>
        </w:rPr>
        <w:t xml:space="preserve">move quickly </w:t>
      </w:r>
      <w:r w:rsidRPr="00B57B6A">
        <w:rPr>
          <w:rFonts w:ascii="Times New Roman" w:hAnsi="Times New Roman" w:cs="Times New Roman"/>
          <w:sz w:val="24"/>
          <w:szCs w:val="24"/>
        </w:rPr>
        <w:t>toward the closure of orphanage</w:t>
      </w:r>
      <w:r w:rsidR="008D1356" w:rsidRPr="00B57B6A">
        <w:rPr>
          <w:rFonts w:ascii="Times New Roman" w:hAnsi="Times New Roman" w:cs="Times New Roman"/>
          <w:sz w:val="24"/>
          <w:szCs w:val="24"/>
        </w:rPr>
        <w:t>s</w:t>
      </w:r>
      <w:r w:rsidRPr="00B57B6A">
        <w:rPr>
          <w:rFonts w:ascii="Times New Roman" w:hAnsi="Times New Roman" w:cs="Times New Roman"/>
          <w:sz w:val="24"/>
          <w:szCs w:val="24"/>
        </w:rPr>
        <w:t>. C</w:t>
      </w:r>
      <w:r w:rsidR="00B505AF" w:rsidRPr="00B57B6A">
        <w:rPr>
          <w:rFonts w:ascii="Times New Roman" w:hAnsi="Times New Roman" w:cs="Times New Roman"/>
          <w:sz w:val="24"/>
          <w:szCs w:val="24"/>
        </w:rPr>
        <w:t>hildren with di</w:t>
      </w:r>
      <w:r w:rsidR="00B71AA2" w:rsidRPr="00B57B6A">
        <w:rPr>
          <w:rFonts w:ascii="Times New Roman" w:hAnsi="Times New Roman" w:cs="Times New Roman"/>
          <w:sz w:val="24"/>
          <w:szCs w:val="24"/>
        </w:rPr>
        <w:t>sabilities</w:t>
      </w:r>
      <w:r w:rsidRPr="00B57B6A">
        <w:rPr>
          <w:rFonts w:ascii="Times New Roman" w:hAnsi="Times New Roman" w:cs="Times New Roman"/>
          <w:sz w:val="24"/>
          <w:szCs w:val="24"/>
        </w:rPr>
        <w:t xml:space="preserve">, including babies at </w:t>
      </w:r>
      <w:r w:rsidR="00B71AA2" w:rsidRPr="00B57B6A">
        <w:rPr>
          <w:rFonts w:ascii="Times New Roman" w:hAnsi="Times New Roman" w:cs="Times New Roman"/>
          <w:sz w:val="24"/>
          <w:szCs w:val="24"/>
        </w:rPr>
        <w:t xml:space="preserve">the </w:t>
      </w:r>
      <w:r w:rsidR="00901D7A" w:rsidRPr="00B57B6A">
        <w:rPr>
          <w:rFonts w:ascii="Times New Roman" w:hAnsi="Times New Roman" w:cs="Times New Roman"/>
          <w:sz w:val="24"/>
          <w:szCs w:val="24"/>
        </w:rPr>
        <w:t>Tbilisi</w:t>
      </w:r>
      <w:r w:rsidR="00B71AA2" w:rsidRPr="00B57B6A">
        <w:rPr>
          <w:rFonts w:ascii="Times New Roman" w:hAnsi="Times New Roman" w:cs="Times New Roman"/>
          <w:sz w:val="24"/>
          <w:szCs w:val="24"/>
        </w:rPr>
        <w:t xml:space="preserve"> Infant</w:t>
      </w:r>
      <w:r w:rsidR="00710344" w:rsidRPr="00B57B6A">
        <w:rPr>
          <w:rFonts w:ascii="Times New Roman" w:hAnsi="Times New Roman" w:cs="Times New Roman"/>
          <w:sz w:val="24"/>
          <w:szCs w:val="24"/>
        </w:rPr>
        <w:t>’s</w:t>
      </w:r>
      <w:r w:rsidR="00B505AF" w:rsidRPr="00B57B6A">
        <w:rPr>
          <w:rFonts w:ascii="Times New Roman" w:hAnsi="Times New Roman" w:cs="Times New Roman"/>
          <w:sz w:val="24"/>
          <w:szCs w:val="24"/>
        </w:rPr>
        <w:t xml:space="preserve"> Home</w:t>
      </w:r>
      <w:r w:rsidR="00F40B75" w:rsidRPr="00B57B6A">
        <w:rPr>
          <w:rFonts w:ascii="Times New Roman" w:hAnsi="Times New Roman" w:cs="Times New Roman"/>
          <w:sz w:val="24"/>
          <w:szCs w:val="24"/>
        </w:rPr>
        <w:t>,</w:t>
      </w:r>
      <w:r w:rsidR="00B505AF" w:rsidRPr="00B57B6A">
        <w:rPr>
          <w:rFonts w:ascii="Times New Roman" w:hAnsi="Times New Roman" w:cs="Times New Roman"/>
          <w:sz w:val="24"/>
          <w:szCs w:val="24"/>
        </w:rPr>
        <w:t xml:space="preserve"> were overlooked.</w:t>
      </w:r>
      <w:r w:rsidR="0066171B" w:rsidRPr="00B57B6A">
        <w:rPr>
          <w:rFonts w:ascii="Times New Roman" w:hAnsi="Times New Roman" w:cs="Times New Roman"/>
          <w:sz w:val="24"/>
          <w:szCs w:val="24"/>
        </w:rPr>
        <w:t xml:space="preserve"> </w:t>
      </w:r>
      <w:r w:rsidR="00B505AF" w:rsidRPr="00B57B6A">
        <w:rPr>
          <w:rFonts w:ascii="Times New Roman" w:hAnsi="Times New Roman" w:cs="Times New Roman"/>
          <w:sz w:val="24"/>
          <w:szCs w:val="24"/>
        </w:rPr>
        <w:t>Without supportive care for children with disabilities</w:t>
      </w:r>
      <w:r w:rsidR="008D1356" w:rsidRPr="00B57B6A">
        <w:rPr>
          <w:rFonts w:ascii="Times New Roman" w:hAnsi="Times New Roman" w:cs="Times New Roman"/>
          <w:sz w:val="24"/>
          <w:szCs w:val="24"/>
        </w:rPr>
        <w:t xml:space="preserve"> or </w:t>
      </w:r>
      <w:r w:rsidR="00D853A7">
        <w:rPr>
          <w:rFonts w:ascii="Times New Roman" w:hAnsi="Times New Roman" w:cs="Times New Roman"/>
          <w:sz w:val="24"/>
          <w:szCs w:val="24"/>
        </w:rPr>
        <w:t xml:space="preserve">an opportunity to </w:t>
      </w:r>
      <w:r w:rsidR="008D1356" w:rsidRPr="00B57B6A">
        <w:rPr>
          <w:rFonts w:ascii="Times New Roman" w:hAnsi="Times New Roman" w:cs="Times New Roman"/>
          <w:sz w:val="24"/>
          <w:szCs w:val="24"/>
        </w:rPr>
        <w:t>return to their families</w:t>
      </w:r>
      <w:r w:rsidR="00B505AF" w:rsidRPr="00B57B6A">
        <w:rPr>
          <w:rFonts w:ascii="Times New Roman" w:hAnsi="Times New Roman" w:cs="Times New Roman"/>
          <w:sz w:val="24"/>
          <w:szCs w:val="24"/>
        </w:rPr>
        <w:t>, these children were left in the institution while non-disabled</w:t>
      </w:r>
      <w:r w:rsidR="00465015" w:rsidRPr="00B57B6A">
        <w:rPr>
          <w:rFonts w:ascii="Times New Roman" w:hAnsi="Times New Roman" w:cs="Times New Roman"/>
          <w:sz w:val="24"/>
          <w:szCs w:val="24"/>
        </w:rPr>
        <w:t xml:space="preserve"> children</w:t>
      </w:r>
      <w:r w:rsidR="00B505AF" w:rsidRPr="00B57B6A">
        <w:rPr>
          <w:rFonts w:ascii="Times New Roman" w:hAnsi="Times New Roman" w:cs="Times New Roman"/>
          <w:sz w:val="24"/>
          <w:szCs w:val="24"/>
        </w:rPr>
        <w:t xml:space="preserve"> were returned to families or placed in foster care.</w:t>
      </w:r>
      <w:r w:rsidR="00111D9A" w:rsidRPr="00B57B6A">
        <w:rPr>
          <w:rStyle w:val="FootnoteReference"/>
          <w:rFonts w:ascii="Times New Roman" w:hAnsi="Times New Roman" w:cs="Times New Roman"/>
          <w:sz w:val="24"/>
          <w:szCs w:val="24"/>
        </w:rPr>
        <w:footnoteReference w:id="201"/>
      </w:r>
      <w:r w:rsidR="0066171B" w:rsidRPr="00B57B6A">
        <w:rPr>
          <w:rFonts w:ascii="Times New Roman" w:hAnsi="Times New Roman" w:cs="Times New Roman"/>
          <w:sz w:val="24"/>
          <w:szCs w:val="24"/>
        </w:rPr>
        <w:t xml:space="preserve"> </w:t>
      </w:r>
      <w:r w:rsidR="00B505AF" w:rsidRPr="00B57B6A">
        <w:rPr>
          <w:rFonts w:ascii="Times New Roman" w:hAnsi="Times New Roman" w:cs="Times New Roman"/>
          <w:sz w:val="24"/>
          <w:szCs w:val="24"/>
        </w:rPr>
        <w:t>During this time, international funding was use</w:t>
      </w:r>
      <w:r w:rsidR="00E3769B" w:rsidRPr="00B57B6A">
        <w:rPr>
          <w:rFonts w:ascii="Times New Roman" w:hAnsi="Times New Roman" w:cs="Times New Roman"/>
          <w:sz w:val="24"/>
          <w:szCs w:val="24"/>
        </w:rPr>
        <w:t>d</w:t>
      </w:r>
      <w:r w:rsidR="00B505AF" w:rsidRPr="00B57B6A">
        <w:rPr>
          <w:rFonts w:ascii="Times New Roman" w:hAnsi="Times New Roman" w:cs="Times New Roman"/>
          <w:sz w:val="24"/>
          <w:szCs w:val="24"/>
        </w:rPr>
        <w:t xml:space="preserve"> to rebuild the </w:t>
      </w:r>
      <w:r w:rsidR="00E3769B" w:rsidRPr="00B57B6A">
        <w:rPr>
          <w:rFonts w:ascii="Times New Roman" w:hAnsi="Times New Roman" w:cs="Times New Roman"/>
          <w:sz w:val="24"/>
          <w:szCs w:val="24"/>
        </w:rPr>
        <w:t>Tb</w:t>
      </w:r>
      <w:r w:rsidR="00B71AA2" w:rsidRPr="00B57B6A">
        <w:rPr>
          <w:rFonts w:ascii="Times New Roman" w:hAnsi="Times New Roman" w:cs="Times New Roman"/>
          <w:sz w:val="24"/>
          <w:szCs w:val="24"/>
        </w:rPr>
        <w:t>ilisi Infant</w:t>
      </w:r>
      <w:r w:rsidR="00E3769B" w:rsidRPr="00B57B6A">
        <w:rPr>
          <w:rFonts w:ascii="Times New Roman" w:hAnsi="Times New Roman" w:cs="Times New Roman"/>
          <w:sz w:val="24"/>
          <w:szCs w:val="24"/>
        </w:rPr>
        <w:t xml:space="preserve"> Home</w:t>
      </w:r>
      <w:r w:rsidR="00B505AF" w:rsidRPr="00B57B6A">
        <w:rPr>
          <w:rFonts w:ascii="Times New Roman" w:hAnsi="Times New Roman" w:cs="Times New Roman"/>
          <w:sz w:val="24"/>
          <w:szCs w:val="24"/>
        </w:rPr>
        <w:t>.</w:t>
      </w:r>
      <w:r w:rsidR="0066171B" w:rsidRPr="00B57B6A">
        <w:rPr>
          <w:rFonts w:ascii="Times New Roman" w:hAnsi="Times New Roman" w:cs="Times New Roman"/>
          <w:sz w:val="24"/>
          <w:szCs w:val="24"/>
        </w:rPr>
        <w:t xml:space="preserve"> </w:t>
      </w:r>
      <w:r w:rsidR="00B505AF" w:rsidRPr="00B57B6A">
        <w:rPr>
          <w:rFonts w:ascii="Times New Roman" w:hAnsi="Times New Roman" w:cs="Times New Roman"/>
          <w:sz w:val="24"/>
          <w:szCs w:val="24"/>
        </w:rPr>
        <w:t>The US Agency for International Develo</w:t>
      </w:r>
      <w:r w:rsidR="00E3769B" w:rsidRPr="00B57B6A">
        <w:rPr>
          <w:rFonts w:ascii="Times New Roman" w:hAnsi="Times New Roman" w:cs="Times New Roman"/>
          <w:sz w:val="24"/>
          <w:szCs w:val="24"/>
        </w:rPr>
        <w:t>pment (USAID) funded a playground at this</w:t>
      </w:r>
      <w:r w:rsidR="00B505AF" w:rsidRPr="00B57B6A">
        <w:rPr>
          <w:rFonts w:ascii="Times New Roman" w:hAnsi="Times New Roman" w:cs="Times New Roman"/>
          <w:sz w:val="24"/>
          <w:szCs w:val="24"/>
        </w:rPr>
        <w:t xml:space="preserve"> facility.</w:t>
      </w:r>
      <w:r w:rsidR="0066171B" w:rsidRPr="00B57B6A">
        <w:rPr>
          <w:rFonts w:ascii="Times New Roman" w:hAnsi="Times New Roman" w:cs="Times New Roman"/>
          <w:sz w:val="24"/>
          <w:szCs w:val="24"/>
        </w:rPr>
        <w:t xml:space="preserve"> </w:t>
      </w:r>
      <w:r w:rsidR="00B505AF" w:rsidRPr="00B57B6A">
        <w:rPr>
          <w:rFonts w:ascii="Times New Roman" w:hAnsi="Times New Roman" w:cs="Times New Roman"/>
          <w:sz w:val="24"/>
          <w:szCs w:val="24"/>
        </w:rPr>
        <w:t>Yet inside, many children with disabilities never left their cribs.</w:t>
      </w:r>
      <w:r w:rsidR="0066171B" w:rsidRPr="00B57B6A">
        <w:rPr>
          <w:rFonts w:ascii="Times New Roman" w:hAnsi="Times New Roman" w:cs="Times New Roman"/>
          <w:sz w:val="24"/>
          <w:szCs w:val="24"/>
        </w:rPr>
        <w:t xml:space="preserve"> </w:t>
      </w:r>
      <w:r w:rsidR="00E3769B" w:rsidRPr="00B57B6A">
        <w:rPr>
          <w:rFonts w:ascii="Times New Roman" w:hAnsi="Times New Roman" w:cs="Times New Roman"/>
          <w:sz w:val="24"/>
          <w:szCs w:val="24"/>
        </w:rPr>
        <w:t>When DRI investigators first v</w:t>
      </w:r>
      <w:r w:rsidR="00B505AF" w:rsidRPr="00B57B6A">
        <w:rPr>
          <w:rFonts w:ascii="Times New Roman" w:hAnsi="Times New Roman" w:cs="Times New Roman"/>
          <w:sz w:val="24"/>
          <w:szCs w:val="24"/>
        </w:rPr>
        <w:t>isited in 20</w:t>
      </w:r>
      <w:r w:rsidR="00E3769B" w:rsidRPr="00B57B6A">
        <w:rPr>
          <w:rFonts w:ascii="Times New Roman" w:hAnsi="Times New Roman" w:cs="Times New Roman"/>
          <w:sz w:val="24"/>
          <w:szCs w:val="24"/>
        </w:rPr>
        <w:t>10</w:t>
      </w:r>
      <w:r w:rsidR="00B505AF" w:rsidRPr="00B57B6A">
        <w:rPr>
          <w:rFonts w:ascii="Times New Roman" w:hAnsi="Times New Roman" w:cs="Times New Roman"/>
          <w:sz w:val="24"/>
          <w:szCs w:val="24"/>
        </w:rPr>
        <w:t xml:space="preserve">, they </w:t>
      </w:r>
      <w:r w:rsidR="00E3769B" w:rsidRPr="00B57B6A">
        <w:rPr>
          <w:rFonts w:ascii="Times New Roman" w:hAnsi="Times New Roman" w:cs="Times New Roman"/>
          <w:sz w:val="24"/>
          <w:szCs w:val="24"/>
        </w:rPr>
        <w:t>found children with hydrocephalus</w:t>
      </w:r>
      <w:r w:rsidR="00B505AF" w:rsidRPr="00B57B6A">
        <w:rPr>
          <w:rFonts w:ascii="Times New Roman" w:hAnsi="Times New Roman" w:cs="Times New Roman"/>
          <w:sz w:val="24"/>
          <w:szCs w:val="24"/>
        </w:rPr>
        <w:t xml:space="preserve"> left untreated – their heads growing so large that they died a slow and painful death.</w:t>
      </w:r>
      <w:r w:rsidR="0066171B" w:rsidRPr="00B57B6A">
        <w:rPr>
          <w:rFonts w:ascii="Times New Roman" w:hAnsi="Times New Roman" w:cs="Times New Roman"/>
          <w:sz w:val="24"/>
          <w:szCs w:val="24"/>
        </w:rPr>
        <w:t xml:space="preserve"> </w:t>
      </w:r>
      <w:r w:rsidR="00B505AF" w:rsidRPr="00B57B6A">
        <w:rPr>
          <w:rFonts w:ascii="Times New Roman" w:hAnsi="Times New Roman" w:cs="Times New Roman"/>
          <w:sz w:val="24"/>
          <w:szCs w:val="24"/>
        </w:rPr>
        <w:t>In one</w:t>
      </w:r>
      <w:r w:rsidR="00025596" w:rsidRPr="00B57B6A">
        <w:rPr>
          <w:rFonts w:ascii="Times New Roman" w:hAnsi="Times New Roman" w:cs="Times New Roman"/>
          <w:sz w:val="24"/>
          <w:szCs w:val="24"/>
        </w:rPr>
        <w:t xml:space="preserve"> four month</w:t>
      </w:r>
      <w:r w:rsidR="00B505AF" w:rsidRPr="00B57B6A">
        <w:rPr>
          <w:rFonts w:ascii="Times New Roman" w:hAnsi="Times New Roman" w:cs="Times New Roman"/>
          <w:sz w:val="24"/>
          <w:szCs w:val="24"/>
        </w:rPr>
        <w:t xml:space="preserve"> period </w:t>
      </w:r>
      <w:r w:rsidR="00025596" w:rsidRPr="00B57B6A">
        <w:rPr>
          <w:rFonts w:ascii="Times New Roman" w:hAnsi="Times New Roman" w:cs="Times New Roman"/>
          <w:sz w:val="24"/>
          <w:szCs w:val="24"/>
        </w:rPr>
        <w:t>between DRI visits in 2012, 50% of the children with hydrocephalus in the Tbilisi Infant Home passed away</w:t>
      </w:r>
      <w:r w:rsidR="00B505AF" w:rsidRPr="00B57B6A">
        <w:rPr>
          <w:rFonts w:ascii="Times New Roman" w:hAnsi="Times New Roman" w:cs="Times New Roman"/>
          <w:sz w:val="24"/>
          <w:szCs w:val="24"/>
        </w:rPr>
        <w:t>.</w:t>
      </w:r>
      <w:r w:rsidR="00025596" w:rsidRPr="00B57B6A">
        <w:rPr>
          <w:rStyle w:val="FootnoteReference"/>
          <w:rFonts w:ascii="Times New Roman" w:hAnsi="Times New Roman" w:cs="Times New Roman"/>
          <w:sz w:val="24"/>
          <w:szCs w:val="24"/>
        </w:rPr>
        <w:footnoteReference w:id="202"/>
      </w:r>
      <w:r w:rsidR="0066171B" w:rsidRPr="00B57B6A">
        <w:rPr>
          <w:rFonts w:ascii="Times New Roman" w:hAnsi="Times New Roman" w:cs="Times New Roman"/>
          <w:sz w:val="24"/>
          <w:szCs w:val="24"/>
        </w:rPr>
        <w:t xml:space="preserve"> </w:t>
      </w:r>
      <w:r w:rsidR="00B505AF" w:rsidRPr="00B57B6A">
        <w:rPr>
          <w:rFonts w:ascii="Times New Roman" w:hAnsi="Times New Roman" w:cs="Times New Roman"/>
          <w:sz w:val="24"/>
          <w:szCs w:val="24"/>
        </w:rPr>
        <w:t xml:space="preserve"> </w:t>
      </w:r>
    </w:p>
    <w:p w14:paraId="36536063" w14:textId="5BFE32A0" w:rsidR="00B505AF" w:rsidRPr="00B57B6A" w:rsidRDefault="00B505A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Physicians interviewed by DRI said that treatment for hydrocephaly (including the placement of a shunt to drain off fluid buildup in the skull) was available in Georgia. But staff at the facility reported that children were not given this treatment because they were seen as “already damaged” by disability and would lead incomplete lives even if treated.</w:t>
      </w:r>
      <w:r w:rsidR="00887AF9" w:rsidRPr="00B57B6A">
        <w:rPr>
          <w:rStyle w:val="FootnoteReference"/>
          <w:rFonts w:ascii="Times New Roman" w:hAnsi="Times New Roman" w:cs="Times New Roman"/>
          <w:sz w:val="24"/>
          <w:szCs w:val="24"/>
        </w:rPr>
        <w:footnoteReference w:id="203"/>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DRI brought in a medical expert who found that these children were not even given pain medication.</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The UN Special Rapporteur on Torture has stated that the denial of pain medication itself can constitute torture.</w:t>
      </w:r>
      <w:r w:rsidR="00957513" w:rsidRPr="00B57B6A">
        <w:rPr>
          <w:rStyle w:val="FootnoteReference"/>
          <w:rFonts w:ascii="Times New Roman" w:hAnsi="Times New Roman" w:cs="Times New Roman"/>
          <w:sz w:val="24"/>
          <w:szCs w:val="24"/>
        </w:rPr>
        <w:footnoteReference w:id="204"/>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The explicit discrimination on the basis of disability in this case, causing severe pain and suffering – and eventual death – demonstrates that these children were being subject to torture.</w:t>
      </w:r>
      <w:r w:rsidR="0066171B" w:rsidRPr="00B57B6A">
        <w:rPr>
          <w:rFonts w:ascii="Times New Roman" w:hAnsi="Times New Roman" w:cs="Times New Roman"/>
          <w:sz w:val="24"/>
          <w:szCs w:val="24"/>
        </w:rPr>
        <w:t xml:space="preserve"> </w:t>
      </w:r>
      <w:r w:rsidR="005442AB" w:rsidRPr="00B57B6A">
        <w:rPr>
          <w:rFonts w:ascii="Times New Roman" w:hAnsi="Times New Roman" w:cs="Times New Roman"/>
          <w:sz w:val="24"/>
          <w:szCs w:val="24"/>
        </w:rPr>
        <w:t xml:space="preserve"> </w:t>
      </w:r>
    </w:p>
    <w:p w14:paraId="07F24369" w14:textId="1D99B4F2" w:rsidR="00D92079" w:rsidRDefault="00D92079"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lastRenderedPageBreak/>
        <w:t>Children with disabilities are particularly at risk of denial of pain medication because they may not be able to express the pain they are suffering.</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Or more likely, they face the perception that they do not feel pain or will soon die anyway because of their disability.</w:t>
      </w:r>
      <w:r w:rsidR="00D853A7">
        <w:rPr>
          <w:rFonts w:ascii="Times New Roman" w:hAnsi="Times New Roman" w:cs="Times New Roman"/>
          <w:sz w:val="24"/>
          <w:szCs w:val="24"/>
        </w:rPr>
        <w:t xml:space="preserve"> Perceptions of caregivers or the public can be reinforced by the psychiatric or medical label they are given.  At the time</w:t>
      </w:r>
      <w:r w:rsidRPr="00B57B6A">
        <w:rPr>
          <w:rFonts w:ascii="Times New Roman" w:hAnsi="Times New Roman" w:cs="Times New Roman"/>
          <w:sz w:val="24"/>
          <w:szCs w:val="24"/>
        </w:rPr>
        <w:t xml:space="preserve"> DRI found the children at the </w:t>
      </w:r>
      <w:r w:rsidR="00901D7A" w:rsidRPr="00B57B6A">
        <w:rPr>
          <w:rFonts w:ascii="Times New Roman" w:hAnsi="Times New Roman" w:cs="Times New Roman"/>
          <w:sz w:val="24"/>
          <w:szCs w:val="24"/>
        </w:rPr>
        <w:t>Tbilisi</w:t>
      </w:r>
      <w:r w:rsidRPr="00B57B6A">
        <w:rPr>
          <w:rFonts w:ascii="Times New Roman" w:hAnsi="Times New Roman" w:cs="Times New Roman"/>
          <w:sz w:val="24"/>
          <w:szCs w:val="24"/>
        </w:rPr>
        <w:t xml:space="preserve"> Infants Home, authorities </w:t>
      </w:r>
      <w:r w:rsidR="00D853A7">
        <w:rPr>
          <w:rFonts w:ascii="Times New Roman" w:hAnsi="Times New Roman" w:cs="Times New Roman"/>
          <w:sz w:val="24"/>
          <w:szCs w:val="24"/>
        </w:rPr>
        <w:t xml:space="preserve">reported that they </w:t>
      </w:r>
      <w:r w:rsidRPr="00B57B6A">
        <w:rPr>
          <w:rFonts w:ascii="Times New Roman" w:hAnsi="Times New Roman" w:cs="Times New Roman"/>
          <w:sz w:val="24"/>
          <w:szCs w:val="24"/>
        </w:rPr>
        <w:t xml:space="preserve">planned to transform this into a “palliative care” facility – </w:t>
      </w:r>
      <w:r w:rsidR="00B56E67">
        <w:rPr>
          <w:rFonts w:ascii="Times New Roman" w:hAnsi="Times New Roman" w:cs="Times New Roman"/>
          <w:sz w:val="24"/>
          <w:szCs w:val="24"/>
        </w:rPr>
        <w:t>a designation that formally excluded them from any future inclusions in plans for community integration</w:t>
      </w:r>
      <w:r w:rsidR="00D853A7">
        <w:rPr>
          <w:rFonts w:ascii="Times New Roman" w:hAnsi="Times New Roman" w:cs="Times New Roman"/>
          <w:sz w:val="24"/>
          <w:szCs w:val="24"/>
        </w:rPr>
        <w:t xml:space="preserve"> (and suggesting, implicitly, that they were nearing death)</w:t>
      </w:r>
      <w:r w:rsidRPr="00B57B6A">
        <w:rPr>
          <w:rFonts w:ascii="Times New Roman" w:hAnsi="Times New Roman" w:cs="Times New Roman"/>
          <w:sz w:val="24"/>
          <w:szCs w:val="24"/>
        </w:rPr>
        <w:t>.</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It is essential</w:t>
      </w:r>
      <w:r w:rsidR="009D12FA">
        <w:rPr>
          <w:rFonts w:ascii="Times New Roman" w:hAnsi="Times New Roman" w:cs="Times New Roman"/>
          <w:sz w:val="24"/>
          <w:szCs w:val="24"/>
        </w:rPr>
        <w:t xml:space="preserve"> </w:t>
      </w:r>
      <w:r w:rsidR="009D12FA" w:rsidRPr="00B57B6A">
        <w:rPr>
          <w:rFonts w:ascii="Times New Roman" w:hAnsi="Times New Roman" w:cs="Times New Roman"/>
          <w:sz w:val="24"/>
          <w:szCs w:val="24"/>
        </w:rPr>
        <w:t>to challenge such assumptions</w:t>
      </w:r>
      <w:r w:rsidRPr="00B57B6A">
        <w:rPr>
          <w:rFonts w:ascii="Times New Roman" w:hAnsi="Times New Roman" w:cs="Times New Roman"/>
          <w:sz w:val="24"/>
          <w:szCs w:val="24"/>
        </w:rPr>
        <w:t xml:space="preserve"> through careful independent oversight and monitoring</w:t>
      </w:r>
      <w:r w:rsidR="009D12FA">
        <w:rPr>
          <w:rFonts w:ascii="Times New Roman" w:hAnsi="Times New Roman" w:cs="Times New Roman"/>
          <w:sz w:val="24"/>
          <w:szCs w:val="24"/>
        </w:rPr>
        <w:t xml:space="preserve">, </w:t>
      </w:r>
      <w:r w:rsidRPr="00B57B6A">
        <w:rPr>
          <w:rFonts w:ascii="Times New Roman" w:hAnsi="Times New Roman" w:cs="Times New Roman"/>
          <w:sz w:val="24"/>
          <w:szCs w:val="24"/>
        </w:rPr>
        <w:t>and</w:t>
      </w:r>
      <w:r w:rsidR="009D12FA">
        <w:rPr>
          <w:rFonts w:ascii="Times New Roman" w:hAnsi="Times New Roman" w:cs="Times New Roman"/>
          <w:sz w:val="24"/>
          <w:szCs w:val="24"/>
        </w:rPr>
        <w:t xml:space="preserve"> to</w:t>
      </w:r>
      <w:r w:rsidRPr="00B57B6A">
        <w:rPr>
          <w:rFonts w:ascii="Times New Roman" w:hAnsi="Times New Roman" w:cs="Times New Roman"/>
          <w:sz w:val="24"/>
          <w:szCs w:val="24"/>
        </w:rPr>
        <w:t xml:space="preserve"> ensure that children with disabilities – wherever they are – have the same right to medical care and pain relief as all other children.</w:t>
      </w:r>
      <w:r w:rsidR="00D853A7">
        <w:rPr>
          <w:rFonts w:ascii="Times New Roman" w:hAnsi="Times New Roman" w:cs="Times New Roman"/>
          <w:sz w:val="24"/>
          <w:szCs w:val="24"/>
        </w:rPr>
        <w:t xml:space="preserve"> </w:t>
      </w:r>
    </w:p>
    <w:p w14:paraId="096C34ED" w14:textId="3997062E" w:rsidR="001501C8" w:rsidRPr="00B57B6A" w:rsidRDefault="001501C8" w:rsidP="001501C8">
      <w:pPr>
        <w:spacing w:line="240" w:lineRule="auto"/>
        <w:jc w:val="both"/>
        <w:rPr>
          <w:rFonts w:ascii="Times New Roman" w:hAnsi="Times New Roman" w:cs="Times New Roman"/>
          <w:sz w:val="24"/>
          <w:szCs w:val="24"/>
        </w:rPr>
      </w:pPr>
      <w:r>
        <w:rPr>
          <w:rFonts w:ascii="Times New Roman" w:hAnsi="Times New Roman" w:cs="Times New Roman"/>
          <w:sz w:val="24"/>
          <w:szCs w:val="24"/>
        </w:rPr>
        <w:t>While the right to basic care and treatment within an institution must be legally enforceable, it is important to recognize that there are inherent risks in the provision</w:t>
      </w:r>
      <w:r w:rsidR="00DE28CC">
        <w:rPr>
          <w:rFonts w:ascii="Times New Roman" w:hAnsi="Times New Roman" w:cs="Times New Roman"/>
          <w:sz w:val="24"/>
          <w:szCs w:val="24"/>
        </w:rPr>
        <w:t xml:space="preserve"> and funding</w:t>
      </w:r>
      <w:r>
        <w:rPr>
          <w:rFonts w:ascii="Times New Roman" w:hAnsi="Times New Roman" w:cs="Times New Roman"/>
          <w:sz w:val="24"/>
          <w:szCs w:val="24"/>
        </w:rPr>
        <w:t xml:space="preserve"> of such care.  Support for essential care inevitably allows the facility to shift resources to other operating expenses</w:t>
      </w:r>
      <w:r w:rsidRPr="00B57B6A">
        <w:rPr>
          <w:rFonts w:ascii="Times New Roman" w:hAnsi="Times New Roman" w:cs="Times New Roman"/>
          <w:sz w:val="24"/>
          <w:szCs w:val="24"/>
        </w:rPr>
        <w:t xml:space="preserve">. </w:t>
      </w:r>
      <w:r w:rsidR="00DE28CC">
        <w:rPr>
          <w:rFonts w:ascii="Times New Roman" w:hAnsi="Times New Roman" w:cs="Times New Roman"/>
          <w:sz w:val="24"/>
          <w:szCs w:val="24"/>
        </w:rPr>
        <w:t xml:space="preserve">This will support the continued operation of the institution, which will continue to draw limited funds away from community-based alternatives. </w:t>
      </w:r>
      <w:r>
        <w:rPr>
          <w:rFonts w:ascii="Times New Roman" w:hAnsi="Times New Roman" w:cs="Times New Roman"/>
          <w:sz w:val="24"/>
          <w:szCs w:val="24"/>
        </w:rPr>
        <w:t xml:space="preserve">To some extent, the impact of such support can be </w:t>
      </w:r>
      <w:r w:rsidR="00DE28CC">
        <w:rPr>
          <w:rFonts w:ascii="Times New Roman" w:hAnsi="Times New Roman" w:cs="Times New Roman"/>
          <w:sz w:val="24"/>
          <w:szCs w:val="24"/>
        </w:rPr>
        <w:t xml:space="preserve">reduced </w:t>
      </w:r>
      <w:r>
        <w:rPr>
          <w:rFonts w:ascii="Times New Roman" w:hAnsi="Times New Roman" w:cs="Times New Roman"/>
          <w:sz w:val="24"/>
          <w:szCs w:val="24"/>
        </w:rPr>
        <w:t xml:space="preserve">by funding mechanisms that “follow the patient” or child.  If a child can obtain care at home or find placement outside the facility, the funding for care must still be available to that child wherever he or she may need it. Funding mechanisms must be carefully established so that </w:t>
      </w:r>
      <w:r w:rsidRPr="00B57B6A">
        <w:rPr>
          <w:rFonts w:ascii="Times New Roman" w:hAnsi="Times New Roman" w:cs="Times New Roman"/>
          <w:sz w:val="24"/>
          <w:szCs w:val="24"/>
        </w:rPr>
        <w:t xml:space="preserve">provision of care within the institution </w:t>
      </w:r>
      <w:r>
        <w:rPr>
          <w:rFonts w:ascii="Times New Roman" w:hAnsi="Times New Roman" w:cs="Times New Roman"/>
          <w:sz w:val="24"/>
          <w:szCs w:val="24"/>
        </w:rPr>
        <w:t>is not used as</w:t>
      </w:r>
      <w:r w:rsidRPr="00B57B6A">
        <w:rPr>
          <w:rFonts w:ascii="Times New Roman" w:hAnsi="Times New Roman" w:cs="Times New Roman"/>
          <w:sz w:val="24"/>
          <w:szCs w:val="24"/>
        </w:rPr>
        <w:t xml:space="preserve"> an excuse for </w:t>
      </w:r>
      <w:r>
        <w:rPr>
          <w:rFonts w:ascii="Times New Roman" w:hAnsi="Times New Roman" w:cs="Times New Roman"/>
          <w:sz w:val="24"/>
          <w:szCs w:val="24"/>
        </w:rPr>
        <w:t xml:space="preserve">detention of the child. </w:t>
      </w:r>
      <w:r w:rsidR="00DE28CC">
        <w:rPr>
          <w:rFonts w:ascii="Times New Roman" w:hAnsi="Times New Roman" w:cs="Times New Roman"/>
          <w:sz w:val="24"/>
          <w:szCs w:val="24"/>
        </w:rPr>
        <w:t>Human rights monitors must be able to identify such funding sources to examine their impact on direct care and the continued operation of the institution.</w:t>
      </w:r>
    </w:p>
    <w:p w14:paraId="29D75E5A" w14:textId="71D4E44E" w:rsidR="002726EF" w:rsidRPr="00B57B6A" w:rsidRDefault="002726EF" w:rsidP="00EB136D">
      <w:pPr>
        <w:pStyle w:val="Heading2"/>
        <w:numPr>
          <w:ilvl w:val="0"/>
          <w:numId w:val="32"/>
        </w:numPr>
        <w:spacing w:line="240" w:lineRule="auto"/>
        <w:rPr>
          <w:rFonts w:ascii="Times New Roman" w:hAnsi="Times New Roman" w:cs="Times New Roman"/>
          <w:sz w:val="24"/>
          <w:szCs w:val="24"/>
        </w:rPr>
      </w:pPr>
      <w:bookmarkStart w:id="77" w:name="_Toc471468485"/>
      <w:r w:rsidRPr="00B57B6A">
        <w:rPr>
          <w:rFonts w:ascii="Times New Roman" w:hAnsi="Times New Roman" w:cs="Times New Roman"/>
          <w:sz w:val="24"/>
          <w:szCs w:val="24"/>
        </w:rPr>
        <w:t>Implementing protections against restraints</w:t>
      </w:r>
      <w:bookmarkEnd w:id="77"/>
    </w:p>
    <w:p w14:paraId="464B7258" w14:textId="0F477D20"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Various international </w:t>
      </w:r>
      <w:r w:rsidR="007C557A">
        <w:rPr>
          <w:rFonts w:ascii="Times New Roman" w:hAnsi="Times New Roman" w:cs="Times New Roman"/>
          <w:sz w:val="24"/>
          <w:szCs w:val="24"/>
        </w:rPr>
        <w:t>instrument</w:t>
      </w:r>
      <w:r w:rsidRPr="00B57B6A">
        <w:rPr>
          <w:rFonts w:ascii="Times New Roman" w:hAnsi="Times New Roman" w:cs="Times New Roman"/>
          <w:sz w:val="24"/>
          <w:szCs w:val="24"/>
        </w:rPr>
        <w:t xml:space="preserve">s have tried to establish clear and enforceable standards for the protection against the severe pain and suffering caused by physical restraint. The adoption of the strongest possible </w:t>
      </w:r>
      <w:r w:rsidR="00465015" w:rsidRPr="00B57B6A">
        <w:rPr>
          <w:rFonts w:ascii="Times New Roman" w:hAnsi="Times New Roman" w:cs="Times New Roman"/>
          <w:sz w:val="24"/>
          <w:szCs w:val="24"/>
        </w:rPr>
        <w:t>protection is</w:t>
      </w:r>
      <w:r w:rsidRPr="00B57B6A">
        <w:rPr>
          <w:rFonts w:ascii="Times New Roman" w:hAnsi="Times New Roman" w:cs="Times New Roman"/>
          <w:sz w:val="24"/>
          <w:szCs w:val="24"/>
        </w:rPr>
        <w:t xml:space="preserve"> essent</w:t>
      </w:r>
      <w:r w:rsidR="00DE28CC">
        <w:rPr>
          <w:rFonts w:ascii="Times New Roman" w:hAnsi="Times New Roman" w:cs="Times New Roman"/>
          <w:sz w:val="24"/>
          <w:szCs w:val="24"/>
        </w:rPr>
        <w:t>ial to avoid abuse. The experience of DRI in Mexico, however, shows that stopping the abusive use of physical restraints within institutions can be extremely difficult.</w:t>
      </w:r>
      <w:r w:rsidR="00464622">
        <w:rPr>
          <w:rFonts w:ascii="Times New Roman" w:hAnsi="Times New Roman" w:cs="Times New Roman"/>
          <w:sz w:val="24"/>
          <w:szCs w:val="24"/>
        </w:rPr>
        <w:t xml:space="preserve"> Even after Mexico adopted strong international human rights standards, and after its abuses had been widely exposed and publicized, DRI has continued to find widespread abuse of restraints in Mexico’s institutions.</w:t>
      </w:r>
      <w:bookmarkStart w:id="78" w:name="_Ref471314688"/>
      <w:r w:rsidR="00464622">
        <w:rPr>
          <w:rStyle w:val="FootnoteReference"/>
          <w:rFonts w:ascii="Times New Roman" w:hAnsi="Times New Roman" w:cs="Times New Roman"/>
          <w:sz w:val="24"/>
          <w:szCs w:val="24"/>
        </w:rPr>
        <w:footnoteReference w:id="205"/>
      </w:r>
      <w:bookmarkEnd w:id="78"/>
      <w:r w:rsidR="00464622">
        <w:rPr>
          <w:rFonts w:ascii="Times New Roman" w:hAnsi="Times New Roman" w:cs="Times New Roman"/>
          <w:sz w:val="24"/>
          <w:szCs w:val="24"/>
        </w:rPr>
        <w:t xml:space="preserve"> </w:t>
      </w:r>
    </w:p>
    <w:p w14:paraId="576E7707" w14:textId="03F9C429"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Following DRI’s presentation about the use of restraints on children in Serbian orphanages, UN Special Rapporteur on Torture Manfred Nowak stated that the prolonged use of restraints may constitute </w:t>
      </w:r>
      <w:r w:rsidR="00465015" w:rsidRPr="00B57B6A">
        <w:rPr>
          <w:rFonts w:ascii="Times New Roman" w:hAnsi="Times New Roman" w:cs="Times New Roman"/>
          <w:sz w:val="24"/>
          <w:szCs w:val="24"/>
        </w:rPr>
        <w:t>A</w:t>
      </w:r>
      <w:r w:rsidRPr="00B57B6A">
        <w:rPr>
          <w:rFonts w:ascii="Times New Roman" w:hAnsi="Times New Roman" w:cs="Times New Roman"/>
          <w:sz w:val="24"/>
          <w:szCs w:val="24"/>
        </w:rPr>
        <w:t>rticle 1 torture.</w:t>
      </w:r>
      <w:r w:rsidRPr="00B57B6A">
        <w:rPr>
          <w:rStyle w:val="FootnoteReference"/>
          <w:rFonts w:ascii="Times New Roman" w:hAnsi="Times New Roman" w:cs="Times New Roman"/>
          <w:sz w:val="24"/>
          <w:szCs w:val="24"/>
        </w:rPr>
        <w:footnoteReference w:id="206"/>
      </w:r>
      <w:r w:rsidRPr="00B57B6A">
        <w:rPr>
          <w:rFonts w:ascii="Times New Roman" w:hAnsi="Times New Roman" w:cs="Times New Roman"/>
          <w:b/>
          <w:sz w:val="24"/>
          <w:szCs w:val="24"/>
        </w:rPr>
        <w:t xml:space="preserve">   </w:t>
      </w:r>
      <w:r w:rsidRPr="00B57B6A">
        <w:rPr>
          <w:rFonts w:ascii="Times New Roman" w:hAnsi="Times New Roman" w:cs="Times New Roman"/>
          <w:sz w:val="24"/>
          <w:szCs w:val="24"/>
        </w:rPr>
        <w:t>As Nowak’s report describes:</w:t>
      </w:r>
    </w:p>
    <w:p w14:paraId="43D9384F" w14:textId="01DC3291" w:rsidR="002726EF" w:rsidRPr="00B57B6A" w:rsidRDefault="002726EF" w:rsidP="00B57B6A">
      <w:pPr>
        <w:spacing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Poor conditions in institutions are often coupled with severe forms of restraint and seclusion</w:t>
      </w:r>
      <w:r w:rsidR="00542426" w:rsidRPr="00B57B6A">
        <w:rPr>
          <w:rFonts w:ascii="Times New Roman" w:hAnsi="Times New Roman" w:cs="Times New Roman"/>
          <w:sz w:val="24"/>
          <w:szCs w:val="24"/>
        </w:rPr>
        <w:t>.</w:t>
      </w:r>
      <w:r w:rsidRPr="00B57B6A">
        <w:rPr>
          <w:rFonts w:ascii="Times New Roman" w:hAnsi="Times New Roman" w:cs="Times New Roman"/>
          <w:sz w:val="24"/>
          <w:szCs w:val="24"/>
        </w:rPr>
        <w:t xml:space="preserve"> </w:t>
      </w:r>
      <w:r w:rsidR="00542426" w:rsidRPr="00B57B6A">
        <w:rPr>
          <w:rFonts w:ascii="Times New Roman" w:hAnsi="Times New Roman" w:cs="Times New Roman"/>
          <w:sz w:val="24"/>
          <w:szCs w:val="24"/>
        </w:rPr>
        <w:t>C</w:t>
      </w:r>
      <w:r w:rsidRPr="00B57B6A">
        <w:rPr>
          <w:rFonts w:ascii="Times New Roman" w:hAnsi="Times New Roman" w:cs="Times New Roman"/>
          <w:sz w:val="24"/>
          <w:szCs w:val="24"/>
        </w:rPr>
        <w:t>hildren and adults with disabilities may be tied to their beds, cribs or chairs for prolonged period, including with chains and handcuffs…</w:t>
      </w:r>
      <w:r w:rsidR="00901D7A">
        <w:rPr>
          <w:rFonts w:ascii="Times New Roman" w:hAnsi="Times New Roman" w:cs="Times New Roman"/>
          <w:sz w:val="24"/>
          <w:szCs w:val="24"/>
        </w:rPr>
        <w:t xml:space="preserve"> </w:t>
      </w:r>
      <w:r w:rsidR="00904B63">
        <w:rPr>
          <w:rFonts w:ascii="Times New Roman" w:hAnsi="Times New Roman" w:cs="Times New Roman"/>
          <w:sz w:val="24"/>
          <w:szCs w:val="24"/>
        </w:rPr>
        <w:t>[P]</w:t>
      </w:r>
      <w:r w:rsidR="006B3F92" w:rsidRPr="00B57B6A">
        <w:rPr>
          <w:rFonts w:ascii="Times New Roman" w:hAnsi="Times New Roman" w:cs="Times New Roman"/>
          <w:sz w:val="24"/>
          <w:szCs w:val="24"/>
        </w:rPr>
        <w:t>rolonged</w:t>
      </w:r>
      <w:r w:rsidRPr="00B57B6A">
        <w:rPr>
          <w:rFonts w:ascii="Times New Roman" w:hAnsi="Times New Roman" w:cs="Times New Roman"/>
          <w:sz w:val="24"/>
          <w:szCs w:val="24"/>
        </w:rPr>
        <w:t xml:space="preserve"> use of restraint can lead to muscle atrophy, life-threatening deformities and even organ failure.”</w:t>
      </w:r>
      <w:r w:rsidRPr="00B57B6A">
        <w:rPr>
          <w:rStyle w:val="FootnoteReference"/>
          <w:rFonts w:ascii="Times New Roman" w:hAnsi="Times New Roman" w:cs="Times New Roman"/>
          <w:sz w:val="24"/>
          <w:szCs w:val="24"/>
        </w:rPr>
        <w:footnoteReference w:id="207"/>
      </w:r>
    </w:p>
    <w:p w14:paraId="7F5216B2" w14:textId="76616AA5"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Méndez Report specifies that States should “use restraints or force only when the child poses an immediate threat of injury to himself or others, and only for a limited period of time and </w:t>
      </w:r>
      <w:r w:rsidRPr="00B57B6A">
        <w:rPr>
          <w:rFonts w:ascii="Times New Roman" w:hAnsi="Times New Roman" w:cs="Times New Roman"/>
          <w:sz w:val="24"/>
          <w:szCs w:val="24"/>
        </w:rPr>
        <w:lastRenderedPageBreak/>
        <w:t>only when all other means of control have been exhausted…”</w:t>
      </w:r>
      <w:r w:rsidRPr="00B57B6A">
        <w:rPr>
          <w:rFonts w:ascii="Times New Roman" w:hAnsi="Times New Roman" w:cs="Times New Roman"/>
          <w:sz w:val="24"/>
          <w:szCs w:val="24"/>
          <w:vertAlign w:val="superscript"/>
        </w:rPr>
        <w:footnoteReference w:id="208"/>
      </w:r>
      <w:r w:rsidRPr="00B57B6A">
        <w:rPr>
          <w:rFonts w:ascii="Times New Roman" w:hAnsi="Times New Roman" w:cs="Times New Roman"/>
          <w:sz w:val="24"/>
          <w:szCs w:val="24"/>
        </w:rPr>
        <w:t xml:space="preserve"> </w:t>
      </w:r>
      <w:r w:rsidR="006B3F92" w:rsidRPr="00B57B6A">
        <w:rPr>
          <w:rFonts w:ascii="Times New Roman" w:hAnsi="Times New Roman" w:cs="Times New Roman"/>
          <w:sz w:val="24"/>
          <w:szCs w:val="24"/>
        </w:rPr>
        <w:t>Méndez</w:t>
      </w:r>
      <w:r w:rsidRPr="00B57B6A">
        <w:rPr>
          <w:rFonts w:ascii="Times New Roman" w:hAnsi="Times New Roman" w:cs="Times New Roman"/>
          <w:sz w:val="24"/>
          <w:szCs w:val="24"/>
        </w:rPr>
        <w:t>’</w:t>
      </w:r>
      <w:r w:rsidR="006B3F92" w:rsidRPr="00B57B6A">
        <w:rPr>
          <w:rFonts w:ascii="Times New Roman" w:hAnsi="Times New Roman" w:cs="Times New Roman"/>
          <w:sz w:val="24"/>
          <w:szCs w:val="24"/>
        </w:rPr>
        <w:t xml:space="preserve">s </w:t>
      </w:r>
      <w:r w:rsidRPr="00B57B6A">
        <w:rPr>
          <w:rFonts w:ascii="Times New Roman" w:hAnsi="Times New Roman" w:cs="Times New Roman"/>
          <w:sz w:val="24"/>
          <w:szCs w:val="24"/>
        </w:rPr>
        <w:t xml:space="preserve">earlier 2013 report on Torture in Healthcare demands an even higher standard </w:t>
      </w:r>
      <w:r w:rsidR="00F70985">
        <w:rPr>
          <w:rFonts w:ascii="Times New Roman" w:hAnsi="Times New Roman" w:cs="Times New Roman"/>
          <w:sz w:val="24"/>
          <w:szCs w:val="24"/>
        </w:rPr>
        <w:t xml:space="preserve">of protection </w:t>
      </w:r>
      <w:r w:rsidRPr="00B57B6A">
        <w:rPr>
          <w:rFonts w:ascii="Times New Roman" w:hAnsi="Times New Roman" w:cs="Times New Roman"/>
          <w:sz w:val="24"/>
          <w:szCs w:val="24"/>
        </w:rPr>
        <w:t>for persons with disabilities, urging States to adopt an “absolute ban” on restraints for children or adults with mental disabilities in all places of detention.</w:t>
      </w:r>
      <w:r w:rsidRPr="00B57B6A">
        <w:rPr>
          <w:rFonts w:ascii="Times New Roman" w:hAnsi="Times New Roman" w:cs="Times New Roman"/>
          <w:sz w:val="24"/>
          <w:szCs w:val="24"/>
          <w:vertAlign w:val="superscript"/>
        </w:rPr>
        <w:footnoteReference w:id="209"/>
      </w:r>
      <w:r w:rsidRPr="00B57B6A">
        <w:rPr>
          <w:rFonts w:ascii="Times New Roman" w:hAnsi="Times New Roman" w:cs="Times New Roman"/>
          <w:sz w:val="24"/>
          <w:szCs w:val="24"/>
        </w:rPr>
        <w:t xml:space="preserve"> </w:t>
      </w:r>
    </w:p>
    <w:p w14:paraId="0B3DAF5E" w14:textId="4497E09C"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Neither</w:t>
      </w:r>
      <w:r w:rsidR="00710344" w:rsidRPr="00B57B6A">
        <w:rPr>
          <w:rFonts w:ascii="Times New Roman" w:hAnsi="Times New Roman" w:cs="Times New Roman"/>
          <w:sz w:val="24"/>
          <w:szCs w:val="24"/>
        </w:rPr>
        <w:t xml:space="preserve"> of the</w:t>
      </w:r>
      <w:r w:rsidRPr="00B57B6A">
        <w:rPr>
          <w:rFonts w:ascii="Times New Roman" w:hAnsi="Times New Roman" w:cs="Times New Roman"/>
          <w:sz w:val="24"/>
          <w:szCs w:val="24"/>
        </w:rPr>
        <w:t xml:space="preserve"> </w:t>
      </w:r>
      <w:r w:rsidR="006B3F92" w:rsidRPr="00B57B6A">
        <w:rPr>
          <w:rFonts w:ascii="Times New Roman" w:hAnsi="Times New Roman" w:cs="Times New Roman"/>
          <w:sz w:val="24"/>
          <w:szCs w:val="24"/>
        </w:rPr>
        <w:t>Méndez</w:t>
      </w:r>
      <w:r w:rsidRPr="00B57B6A">
        <w:rPr>
          <w:rFonts w:ascii="Times New Roman" w:hAnsi="Times New Roman" w:cs="Times New Roman"/>
          <w:sz w:val="24"/>
          <w:szCs w:val="24"/>
        </w:rPr>
        <w:t xml:space="preserve"> report</w:t>
      </w:r>
      <w:r w:rsidR="00710344" w:rsidRPr="00B57B6A">
        <w:rPr>
          <w:rFonts w:ascii="Times New Roman" w:hAnsi="Times New Roman" w:cs="Times New Roman"/>
          <w:sz w:val="24"/>
          <w:szCs w:val="24"/>
        </w:rPr>
        <w:t>s</w:t>
      </w:r>
      <w:r w:rsidRPr="00B57B6A">
        <w:rPr>
          <w:rFonts w:ascii="Times New Roman" w:hAnsi="Times New Roman" w:cs="Times New Roman"/>
          <w:sz w:val="24"/>
          <w:szCs w:val="24"/>
        </w:rPr>
        <w:t xml:space="preserve"> distinguishes between chemical restraints (e.g. psychotropic medication as a sedative), mechanical restraints (such as </w:t>
      </w:r>
      <w:r w:rsidR="00901D7A">
        <w:rPr>
          <w:rFonts w:ascii="Times New Roman" w:hAnsi="Times New Roman" w:cs="Times New Roman"/>
          <w:sz w:val="24"/>
          <w:szCs w:val="24"/>
        </w:rPr>
        <w:t>strait</w:t>
      </w:r>
      <w:r w:rsidRPr="00B57B6A">
        <w:rPr>
          <w:rFonts w:ascii="Times New Roman" w:hAnsi="Times New Roman" w:cs="Times New Roman"/>
          <w:sz w:val="24"/>
          <w:szCs w:val="24"/>
        </w:rPr>
        <w:t>jackets or even ripped pieces of bedsheets</w:t>
      </w:r>
      <w:r w:rsidR="00BC02E6">
        <w:rPr>
          <w:rFonts w:ascii="Times New Roman" w:hAnsi="Times New Roman" w:cs="Times New Roman"/>
          <w:sz w:val="24"/>
          <w:szCs w:val="24"/>
        </w:rPr>
        <w:t>,</w:t>
      </w:r>
      <w:r w:rsidRPr="00B57B6A">
        <w:rPr>
          <w:rFonts w:ascii="Times New Roman" w:hAnsi="Times New Roman" w:cs="Times New Roman"/>
          <w:sz w:val="24"/>
          <w:szCs w:val="24"/>
        </w:rPr>
        <w:t xml:space="preserve"> as commonly used in orphanages)</w:t>
      </w:r>
      <w:r w:rsidR="00BC02E6">
        <w:rPr>
          <w:rFonts w:ascii="Times New Roman" w:hAnsi="Times New Roman" w:cs="Times New Roman"/>
          <w:sz w:val="24"/>
          <w:szCs w:val="24"/>
        </w:rPr>
        <w:t>,</w:t>
      </w:r>
      <w:r w:rsidRPr="00B57B6A">
        <w:rPr>
          <w:rFonts w:ascii="Times New Roman" w:hAnsi="Times New Roman" w:cs="Times New Roman"/>
          <w:sz w:val="24"/>
          <w:szCs w:val="24"/>
        </w:rPr>
        <w:t xml:space="preserve"> and other physical restraints (such as having a staff member hold a child down). The European Committee for the Prevention of Torture (CPT) provides a valuable guidance and strong protections for children by distinguishing between these different kinds of restraints:</w:t>
      </w:r>
    </w:p>
    <w:p w14:paraId="587D50A2" w14:textId="11908C0E" w:rsidR="002726EF" w:rsidRPr="00B57B6A" w:rsidRDefault="002726EF" w:rsidP="00B57B6A">
      <w:pPr>
        <w:spacing w:after="0"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Minors below 16 years of age should in principle never be subjected to means of restraint. The risks and consequences are indeed more serious taking into account the vulnerability of minors. In extreme cases where it is necessary to intervene physically to avoid harm to self or others, the only acceptable intervention is the use of physical (manual) restraint, that is, staff holding the minor until he or she calms down.</w:t>
      </w:r>
      <w:r w:rsidRPr="00B57B6A">
        <w:rPr>
          <w:rStyle w:val="FootnoteReference"/>
          <w:rFonts w:ascii="Times New Roman" w:hAnsi="Times New Roman" w:cs="Times New Roman"/>
          <w:sz w:val="24"/>
          <w:szCs w:val="24"/>
        </w:rPr>
        <w:footnoteReference w:id="210"/>
      </w:r>
    </w:p>
    <w:p w14:paraId="5A8B4C7D" w14:textId="77777777" w:rsidR="002726EF" w:rsidRPr="00B57B6A" w:rsidRDefault="002726EF" w:rsidP="00B57B6A">
      <w:pPr>
        <w:spacing w:after="0" w:line="240" w:lineRule="auto"/>
        <w:ind w:left="720" w:right="720"/>
        <w:jc w:val="both"/>
        <w:rPr>
          <w:rFonts w:ascii="Times New Roman" w:hAnsi="Times New Roman" w:cs="Times New Roman"/>
          <w:sz w:val="24"/>
          <w:szCs w:val="24"/>
        </w:rPr>
      </w:pPr>
    </w:p>
    <w:p w14:paraId="2D0237FF" w14:textId="71599E38" w:rsidR="002726EF" w:rsidRPr="00B57B6A" w:rsidRDefault="002726EF" w:rsidP="00B57B6A">
      <w:pPr>
        <w:spacing w:line="240" w:lineRule="auto"/>
        <w:jc w:val="both"/>
        <w:rPr>
          <w:rFonts w:ascii="Times New Roman" w:hAnsi="Times New Roman" w:cs="Times New Roman"/>
          <w:b/>
          <w:sz w:val="24"/>
          <w:szCs w:val="24"/>
        </w:rPr>
      </w:pPr>
      <w:r w:rsidRPr="00B57B6A">
        <w:rPr>
          <w:rFonts w:ascii="Times New Roman" w:hAnsi="Times New Roman" w:cs="Times New Roman"/>
          <w:sz w:val="24"/>
          <w:szCs w:val="24"/>
        </w:rPr>
        <w:t>The CPT limits all forms of restraints except manual holding of a child. This differs slightly from a complete ban on restraints. The CPT recognizes that staff may need to hold a child for a short time until a dangerous situation is avoided. Both the 2013 and 2015 reports of the Special Rapporteur on Torture c</w:t>
      </w:r>
      <w:r w:rsidR="00BC02E6">
        <w:rPr>
          <w:rFonts w:ascii="Times New Roman" w:hAnsi="Times New Roman" w:cs="Times New Roman"/>
          <w:sz w:val="24"/>
          <w:szCs w:val="24"/>
        </w:rPr>
        <w:t>an</w:t>
      </w:r>
      <w:r w:rsidRPr="00B57B6A">
        <w:rPr>
          <w:rFonts w:ascii="Times New Roman" w:hAnsi="Times New Roman" w:cs="Times New Roman"/>
          <w:sz w:val="24"/>
          <w:szCs w:val="24"/>
        </w:rPr>
        <w:t xml:space="preserve"> and should be read in a manner consistent with the more specific CPT standard.  </w:t>
      </w:r>
    </w:p>
    <w:p w14:paraId="492AEA48" w14:textId="1617BFD6"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Guidelines for Alternative Care have their own provision for the use of restraints on children. They contain a strong </w:t>
      </w:r>
      <w:r w:rsidR="00710344" w:rsidRPr="00B57B6A">
        <w:rPr>
          <w:rFonts w:ascii="Times New Roman" w:hAnsi="Times New Roman" w:cs="Times New Roman"/>
          <w:sz w:val="24"/>
          <w:szCs w:val="24"/>
        </w:rPr>
        <w:t xml:space="preserve">recommendation to </w:t>
      </w:r>
      <w:r w:rsidRPr="00B57B6A">
        <w:rPr>
          <w:rFonts w:ascii="Times New Roman" w:hAnsi="Times New Roman" w:cs="Times New Roman"/>
          <w:sz w:val="24"/>
          <w:szCs w:val="24"/>
        </w:rPr>
        <w:t xml:space="preserve">limit restraints to situations where they are “strictly necessary,” but their formulation falls short of the protections called for by the UN Special Rapporteur on Torture:   </w:t>
      </w:r>
    </w:p>
    <w:p w14:paraId="0E6AB249" w14:textId="77777777" w:rsidR="002726EF" w:rsidRPr="00B57B6A" w:rsidRDefault="002726EF" w:rsidP="00B57B6A">
      <w:pPr>
        <w:spacing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 xml:space="preserve">Use of force and restraints of whatever nature should not be authorized unless strictly necessary for safeguarding the child’s or others’ physical or psychological integrity, in conformity with the law and in a reasonable and proportionate manner and with respect for the fundamental rights of the child. Restraint by means of drugs and medication should be used on </w:t>
      </w:r>
      <w:r w:rsidRPr="00B57B6A">
        <w:rPr>
          <w:rFonts w:ascii="Times New Roman" w:hAnsi="Times New Roman" w:cs="Times New Roman"/>
          <w:i/>
          <w:sz w:val="24"/>
          <w:szCs w:val="24"/>
        </w:rPr>
        <w:t>therapeutic needs</w:t>
      </w:r>
      <w:r w:rsidRPr="00B57B6A">
        <w:rPr>
          <w:rFonts w:ascii="Times New Roman" w:hAnsi="Times New Roman" w:cs="Times New Roman"/>
          <w:sz w:val="24"/>
          <w:szCs w:val="24"/>
        </w:rPr>
        <w:t xml:space="preserve"> and should never be employed without evaluation and prescription by a specialist.</w:t>
      </w:r>
      <w:r w:rsidRPr="00B57B6A">
        <w:rPr>
          <w:rStyle w:val="FootnoteReference"/>
          <w:rFonts w:ascii="Times New Roman" w:hAnsi="Times New Roman" w:cs="Times New Roman"/>
          <w:sz w:val="24"/>
          <w:szCs w:val="24"/>
        </w:rPr>
        <w:footnoteReference w:id="211"/>
      </w:r>
    </w:p>
    <w:p w14:paraId="2E46641A" w14:textId="002ACA6F"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Guidelines allow chemical and mechanical restraints to be use</w:t>
      </w:r>
      <w:r w:rsidR="00FD0EA0" w:rsidRPr="00B57B6A">
        <w:rPr>
          <w:rFonts w:ascii="Times New Roman" w:hAnsi="Times New Roman" w:cs="Times New Roman"/>
          <w:sz w:val="24"/>
          <w:szCs w:val="24"/>
        </w:rPr>
        <w:t>d</w:t>
      </w:r>
      <w:r w:rsidRPr="00B57B6A">
        <w:rPr>
          <w:rFonts w:ascii="Times New Roman" w:hAnsi="Times New Roman" w:cs="Times New Roman"/>
          <w:sz w:val="24"/>
          <w:szCs w:val="24"/>
        </w:rPr>
        <w:t xml:space="preserve"> on children in institutions, and they suggest that the use of restraints might be therapeutic. The Special Rapporteur on Torture has made very clear that restraints should </w:t>
      </w:r>
      <w:r w:rsidRPr="00B57B6A">
        <w:rPr>
          <w:rFonts w:ascii="Times New Roman" w:hAnsi="Times New Roman" w:cs="Times New Roman"/>
          <w:i/>
          <w:sz w:val="24"/>
          <w:szCs w:val="24"/>
        </w:rPr>
        <w:t>never</w:t>
      </w:r>
      <w:r w:rsidRPr="00B57B6A">
        <w:rPr>
          <w:rFonts w:ascii="Times New Roman" w:hAnsi="Times New Roman" w:cs="Times New Roman"/>
          <w:sz w:val="24"/>
          <w:szCs w:val="24"/>
        </w:rPr>
        <w:t xml:space="preserve"> be used for therapeutic purposes.</w:t>
      </w:r>
      <w:r w:rsidRPr="00B57B6A">
        <w:rPr>
          <w:rFonts w:ascii="Times New Roman" w:hAnsi="Times New Roman" w:cs="Times New Roman"/>
          <w:sz w:val="24"/>
          <w:szCs w:val="24"/>
          <w:vertAlign w:val="superscript"/>
        </w:rPr>
        <w:t xml:space="preserve"> </w:t>
      </w:r>
      <w:r w:rsidRPr="00B57B6A">
        <w:rPr>
          <w:rFonts w:ascii="Times New Roman" w:hAnsi="Times New Roman" w:cs="Times New Roman"/>
          <w:sz w:val="24"/>
          <w:szCs w:val="24"/>
          <w:vertAlign w:val="superscript"/>
        </w:rPr>
        <w:footnoteReference w:id="212"/>
      </w:r>
      <w:r w:rsidRPr="00B57B6A">
        <w:rPr>
          <w:rFonts w:ascii="Times New Roman" w:hAnsi="Times New Roman" w:cs="Times New Roman"/>
          <w:sz w:val="24"/>
          <w:szCs w:val="24"/>
        </w:rPr>
        <w:t xml:space="preserve">   </w:t>
      </w:r>
      <w:r w:rsidRPr="00B57B6A">
        <w:rPr>
          <w:rFonts w:ascii="Times New Roman" w:hAnsi="Times New Roman" w:cs="Times New Roman"/>
          <w:sz w:val="24"/>
          <w:szCs w:val="24"/>
        </w:rPr>
        <w:lastRenderedPageBreak/>
        <w:t>Many social service agencies and development ag</w:t>
      </w:r>
      <w:r w:rsidR="00710344" w:rsidRPr="00B57B6A">
        <w:rPr>
          <w:rFonts w:ascii="Times New Roman" w:hAnsi="Times New Roman" w:cs="Times New Roman"/>
          <w:sz w:val="24"/>
          <w:szCs w:val="24"/>
        </w:rPr>
        <w:t>encies serving children rely on</w:t>
      </w:r>
      <w:r w:rsidRPr="00B57B6A">
        <w:rPr>
          <w:rFonts w:ascii="Times New Roman" w:hAnsi="Times New Roman" w:cs="Times New Roman"/>
          <w:sz w:val="24"/>
          <w:szCs w:val="24"/>
        </w:rPr>
        <w:t xml:space="preserve"> the Guidelines for Alternative Care as their main guideline for protecting the rights of children</w:t>
      </w:r>
      <w:r w:rsidR="00710344" w:rsidRPr="00B57B6A">
        <w:rPr>
          <w:rFonts w:ascii="Times New Roman" w:hAnsi="Times New Roman" w:cs="Times New Roman"/>
          <w:sz w:val="24"/>
          <w:szCs w:val="24"/>
        </w:rPr>
        <w:t xml:space="preserve">. </w:t>
      </w:r>
      <w:r w:rsidRPr="00B57B6A">
        <w:rPr>
          <w:rFonts w:ascii="Times New Roman" w:hAnsi="Times New Roman" w:cs="Times New Roman"/>
          <w:sz w:val="24"/>
          <w:szCs w:val="24"/>
        </w:rPr>
        <w:t>This is one area where the Guidelines for Alternative Care must be updated to reflect important developments in human rights law.</w:t>
      </w:r>
    </w:p>
    <w:p w14:paraId="5D7AFB28" w14:textId="62539686"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most serious dangers of so-called “therapeutic” use of restraints can be seen in the US experience. In the state of Massachusetts at the Judge Rotenberg Center, DRI found the intentional infliction of pain was used as a form of behavior modification treatment </w:t>
      </w:r>
      <w:r w:rsidR="009A3DF9" w:rsidRPr="00B57B6A">
        <w:rPr>
          <w:rFonts w:ascii="Times New Roman" w:hAnsi="Times New Roman" w:cs="Times New Roman"/>
          <w:sz w:val="24"/>
          <w:szCs w:val="24"/>
        </w:rPr>
        <w:t>–</w:t>
      </w:r>
      <w:r w:rsidR="009A3DF9">
        <w:rPr>
          <w:rFonts w:ascii="Times New Roman" w:hAnsi="Times New Roman" w:cs="Times New Roman"/>
          <w:sz w:val="24"/>
          <w:szCs w:val="24"/>
        </w:rPr>
        <w:t xml:space="preserve"> </w:t>
      </w:r>
      <w:r w:rsidRPr="00B57B6A">
        <w:rPr>
          <w:rFonts w:ascii="Times New Roman" w:hAnsi="Times New Roman" w:cs="Times New Roman"/>
          <w:sz w:val="24"/>
          <w:szCs w:val="24"/>
        </w:rPr>
        <w:t>including the use</w:t>
      </w:r>
      <w:r w:rsidR="008B25B1">
        <w:rPr>
          <w:rFonts w:ascii="Times New Roman" w:hAnsi="Times New Roman" w:cs="Times New Roman"/>
          <w:sz w:val="24"/>
          <w:szCs w:val="24"/>
        </w:rPr>
        <w:t xml:space="preserve"> of both</w:t>
      </w:r>
      <w:r w:rsidRPr="00B57B6A">
        <w:rPr>
          <w:rFonts w:ascii="Times New Roman" w:hAnsi="Times New Roman" w:cs="Times New Roman"/>
          <w:sz w:val="24"/>
          <w:szCs w:val="24"/>
        </w:rPr>
        <w:t xml:space="preserve"> electric shock and restraints for “therapeutic purposes.”</w:t>
      </w:r>
      <w:bookmarkStart w:id="79" w:name="_Ref471737641"/>
      <w:r w:rsidRPr="00B57B6A">
        <w:rPr>
          <w:rStyle w:val="FootnoteReference"/>
          <w:rFonts w:ascii="Times New Roman" w:hAnsi="Times New Roman" w:cs="Times New Roman"/>
          <w:sz w:val="24"/>
          <w:szCs w:val="24"/>
        </w:rPr>
        <w:footnoteReference w:id="213"/>
      </w:r>
      <w:bookmarkEnd w:id="79"/>
      <w:r w:rsidRPr="00B57B6A">
        <w:rPr>
          <w:rFonts w:ascii="Times New Roman" w:hAnsi="Times New Roman" w:cs="Times New Roman"/>
          <w:sz w:val="24"/>
          <w:szCs w:val="24"/>
        </w:rPr>
        <w:t xml:space="preserve"> Special Rapporteurs Manfred Nowak and Juan </w:t>
      </w:r>
      <w:r w:rsidR="00FD0EA0" w:rsidRPr="00B57B6A">
        <w:rPr>
          <w:rFonts w:ascii="Times New Roman" w:hAnsi="Times New Roman" w:cs="Times New Roman"/>
          <w:sz w:val="24"/>
          <w:szCs w:val="24"/>
        </w:rPr>
        <w:t>Méndez</w:t>
      </w:r>
      <w:r w:rsidR="00FD0EA0" w:rsidRPr="00B57B6A" w:rsidDel="00FD0EA0">
        <w:rPr>
          <w:rFonts w:ascii="Times New Roman" w:hAnsi="Times New Roman" w:cs="Times New Roman"/>
          <w:sz w:val="24"/>
          <w:szCs w:val="24"/>
        </w:rPr>
        <w:t xml:space="preserve"> </w:t>
      </w:r>
      <w:r w:rsidRPr="00B57B6A">
        <w:rPr>
          <w:rFonts w:ascii="Times New Roman" w:hAnsi="Times New Roman" w:cs="Times New Roman"/>
          <w:sz w:val="24"/>
          <w:szCs w:val="24"/>
        </w:rPr>
        <w:t>publicly stated on US television that this practice constitutes torture.</w:t>
      </w:r>
      <w:r w:rsidRPr="00B57B6A">
        <w:rPr>
          <w:rStyle w:val="FootnoteReference"/>
          <w:rFonts w:ascii="Times New Roman" w:hAnsi="Times New Roman" w:cs="Times New Roman"/>
          <w:sz w:val="24"/>
          <w:szCs w:val="24"/>
        </w:rPr>
        <w:footnoteReference w:id="214"/>
      </w:r>
      <w:r w:rsidRPr="00B57B6A">
        <w:rPr>
          <w:rFonts w:ascii="Times New Roman" w:hAnsi="Times New Roman" w:cs="Times New Roman"/>
          <w:sz w:val="24"/>
          <w:szCs w:val="24"/>
        </w:rPr>
        <w:t xml:space="preserve">  </w:t>
      </w:r>
    </w:p>
    <w:p w14:paraId="520212D5" w14:textId="3E95640D"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While international standards may make hair-splitting distinctions as to what extremely limited circumstances might permit the use of some form of restraint, the reality of children in institutions creates powerful incentives for staff to engage in practices that lead to torture. Any effort to stop the abuse of restraints must recognize this context.</w:t>
      </w:r>
    </w:p>
    <w:p w14:paraId="34996566" w14:textId="2DF24E94"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use of restraints in institutions often stems from self-abusive or other behaviors thought to be the product of a child’s disability. </w:t>
      </w:r>
      <w:r w:rsidR="00C67677">
        <w:rPr>
          <w:rFonts w:ascii="Times New Roman" w:hAnsi="Times New Roman" w:cs="Times New Roman"/>
          <w:sz w:val="24"/>
          <w:szCs w:val="24"/>
        </w:rPr>
        <w:t>C</w:t>
      </w:r>
      <w:r w:rsidRPr="00B57B6A">
        <w:rPr>
          <w:rFonts w:ascii="Times New Roman" w:hAnsi="Times New Roman" w:cs="Times New Roman"/>
          <w:sz w:val="24"/>
          <w:szCs w:val="24"/>
        </w:rPr>
        <w:t>hildren with challenging behaviors who are considered dangerous to themselves or others are the most likely to be detained in institutions.  Unfortunately, the very neglect of institutional placement makes these behaviors even worse. Save the Children describes an example of this situation from an orphanage in Serbia:</w:t>
      </w:r>
    </w:p>
    <w:p w14:paraId="7BD3C2BB" w14:textId="78BE0E9C" w:rsidR="002726EF" w:rsidRPr="00B57B6A" w:rsidRDefault="002726EF" w:rsidP="00B57B6A">
      <w:pPr>
        <w:spacing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A two-year-old girl with suspected learning difficulties learned that scratching herself and pulling her hair quickly go</w:t>
      </w:r>
      <w:r w:rsidR="00710344" w:rsidRPr="00B57B6A">
        <w:rPr>
          <w:rFonts w:ascii="Times New Roman" w:hAnsi="Times New Roman" w:cs="Times New Roman"/>
          <w:sz w:val="24"/>
          <w:szCs w:val="24"/>
        </w:rPr>
        <w:t>t</w:t>
      </w:r>
      <w:r w:rsidRPr="00B57B6A">
        <w:rPr>
          <w:rFonts w:ascii="Times New Roman" w:hAnsi="Times New Roman" w:cs="Times New Roman"/>
          <w:sz w:val="24"/>
          <w:szCs w:val="24"/>
        </w:rPr>
        <w:t xml:space="preserve"> the attention of staff. The more this happened the more she scratched herself and pulled out her hair. Pain was preferable to being neglected. Given that each member of staff had seven other children to care for, they managed the situation by tying the child up in her own bed clothes to prevent her from self-harming.</w:t>
      </w:r>
      <w:r w:rsidRPr="00B57B6A">
        <w:rPr>
          <w:rFonts w:ascii="Times New Roman" w:hAnsi="Times New Roman" w:cs="Times New Roman"/>
          <w:sz w:val="24"/>
          <w:szCs w:val="24"/>
          <w:vertAlign w:val="superscript"/>
        </w:rPr>
        <w:footnoteReference w:id="215"/>
      </w:r>
      <w:r w:rsidRPr="00B57B6A">
        <w:rPr>
          <w:rFonts w:ascii="Times New Roman" w:hAnsi="Times New Roman" w:cs="Times New Roman"/>
          <w:sz w:val="24"/>
          <w:szCs w:val="24"/>
        </w:rPr>
        <w:t xml:space="preserve"> </w:t>
      </w:r>
    </w:p>
    <w:p w14:paraId="05E2877C" w14:textId="1A10E49C"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DRI has observed situations like these in hundreds of institutions around the world – </w:t>
      </w:r>
      <w:r w:rsidR="005E07E4">
        <w:rPr>
          <w:rFonts w:ascii="Times New Roman" w:hAnsi="Times New Roman" w:cs="Times New Roman"/>
          <w:sz w:val="24"/>
          <w:szCs w:val="24"/>
        </w:rPr>
        <w:t xml:space="preserve">they </w:t>
      </w:r>
      <w:r w:rsidR="009A3DF9">
        <w:rPr>
          <w:rFonts w:ascii="Times New Roman" w:hAnsi="Times New Roman" w:cs="Times New Roman"/>
          <w:sz w:val="24"/>
          <w:szCs w:val="24"/>
        </w:rPr>
        <w:t>are</w:t>
      </w:r>
      <w:r w:rsidR="009A3DF9" w:rsidRPr="00B57B6A">
        <w:rPr>
          <w:rFonts w:ascii="Times New Roman" w:hAnsi="Times New Roman" w:cs="Times New Roman"/>
          <w:sz w:val="24"/>
          <w:szCs w:val="24"/>
        </w:rPr>
        <w:t xml:space="preserve"> </w:t>
      </w:r>
      <w:r w:rsidR="009A3DF9">
        <w:rPr>
          <w:rFonts w:ascii="Times New Roman" w:hAnsi="Times New Roman" w:cs="Times New Roman"/>
          <w:sz w:val="24"/>
          <w:szCs w:val="24"/>
        </w:rPr>
        <w:t>regrettably</w:t>
      </w:r>
      <w:r w:rsidR="005E07E4">
        <w:rPr>
          <w:rFonts w:ascii="Times New Roman" w:hAnsi="Times New Roman" w:cs="Times New Roman"/>
          <w:sz w:val="24"/>
          <w:szCs w:val="24"/>
        </w:rPr>
        <w:t xml:space="preserve"> </w:t>
      </w:r>
      <w:r w:rsidRPr="00B57B6A">
        <w:rPr>
          <w:rFonts w:ascii="Times New Roman" w:hAnsi="Times New Roman" w:cs="Times New Roman"/>
          <w:sz w:val="24"/>
          <w:szCs w:val="24"/>
        </w:rPr>
        <w:t>much more the norm</w:t>
      </w:r>
      <w:r w:rsidR="005E07E4">
        <w:rPr>
          <w:rFonts w:ascii="Times New Roman" w:hAnsi="Times New Roman" w:cs="Times New Roman"/>
          <w:sz w:val="24"/>
          <w:szCs w:val="24"/>
        </w:rPr>
        <w:t>, rather</w:t>
      </w:r>
      <w:r w:rsidRPr="00B57B6A">
        <w:rPr>
          <w:rFonts w:ascii="Times New Roman" w:hAnsi="Times New Roman" w:cs="Times New Roman"/>
          <w:sz w:val="24"/>
          <w:szCs w:val="24"/>
        </w:rPr>
        <w:t xml:space="preserve"> than the exception. In such circumstances, laws or policies restricting the use of restraints are often ignored because they cannot be enforced. In one institution documented by DRI in Mexico, where children were held in cages and cage-like cribs, authorities announced that they would adopt one-to-one staffing to end the use of cages. When DRI brought in an expert team to monitor the newly reformed institution, it was denied access.</w:t>
      </w:r>
      <w:r w:rsidRPr="00B57B6A">
        <w:rPr>
          <w:rStyle w:val="FootnoteReference"/>
          <w:rFonts w:ascii="Times New Roman" w:hAnsi="Times New Roman" w:cs="Times New Roman"/>
          <w:sz w:val="24"/>
          <w:szCs w:val="24"/>
        </w:rPr>
        <w:footnoteReference w:id="216"/>
      </w:r>
      <w:r w:rsidRPr="00B57B6A">
        <w:rPr>
          <w:rFonts w:ascii="Times New Roman" w:hAnsi="Times New Roman" w:cs="Times New Roman"/>
          <w:sz w:val="24"/>
          <w:szCs w:val="24"/>
        </w:rPr>
        <w:t xml:space="preserve">  </w:t>
      </w:r>
      <w:r w:rsidR="00E345AB">
        <w:rPr>
          <w:rFonts w:ascii="Times New Roman" w:hAnsi="Times New Roman" w:cs="Times New Roman"/>
          <w:sz w:val="24"/>
          <w:szCs w:val="24"/>
        </w:rPr>
        <w:t xml:space="preserve">Karen </w:t>
      </w:r>
      <w:r w:rsidRPr="00B57B6A">
        <w:rPr>
          <w:rFonts w:ascii="Times New Roman" w:hAnsi="Times New Roman" w:cs="Times New Roman"/>
          <w:sz w:val="24"/>
          <w:szCs w:val="24"/>
        </w:rPr>
        <w:t>Green McGowan, President of the US Developmental Disabilities Nurses Association, who observed the facility on an earlier visit observed:</w:t>
      </w:r>
    </w:p>
    <w:p w14:paraId="5E7443C9" w14:textId="507047A9" w:rsidR="002726EF" w:rsidRPr="00B57B6A" w:rsidRDefault="002726EF" w:rsidP="00B57B6A">
      <w:pPr>
        <w:spacing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 xml:space="preserve">Going back to the days of Willowbrook in the 1970s, vast resources and staffing have been invested in trying to stop the most serious self-abusive behaviors in institutions. Yet what we have found is that these efforts, no matter how well </w:t>
      </w:r>
      <w:r w:rsidRPr="00B57B6A">
        <w:rPr>
          <w:rFonts w:ascii="Times New Roman" w:hAnsi="Times New Roman" w:cs="Times New Roman"/>
          <w:sz w:val="24"/>
          <w:szCs w:val="24"/>
        </w:rPr>
        <w:lastRenderedPageBreak/>
        <w:t>funded, have proven futile. After all is said and done, it is when we got children into stable family environments, that is when behaviors drastically improved. Based on what I observed in Mexico, I believe that the only way to protect these children from being tied down or placed in cages is to get them out of the institution and into a family.</w:t>
      </w:r>
      <w:bookmarkStart w:id="80" w:name="_Ref471398073"/>
      <w:r w:rsidRPr="00B57B6A">
        <w:rPr>
          <w:rStyle w:val="FootnoteReference"/>
          <w:rFonts w:ascii="Times New Roman" w:hAnsi="Times New Roman" w:cs="Times New Roman"/>
          <w:sz w:val="24"/>
          <w:szCs w:val="24"/>
        </w:rPr>
        <w:footnoteReference w:id="217"/>
      </w:r>
      <w:bookmarkEnd w:id="80"/>
    </w:p>
    <w:p w14:paraId="2D596883" w14:textId="77777777"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Unless children are returned to the community and given the opportunity to grow up with the love and attention of a family, it may be impossible to stop self-abuse. Merely banning restraints may be a futile exercise. These protections are almost guaranteed to be violated over time by institutions, when the underlying conditions leading to self-abuse are still present. Banning improper restraints is a step that is necessary but not sufficient. </w:t>
      </w:r>
    </w:p>
    <w:p w14:paraId="5A0B320B" w14:textId="151EEA19" w:rsidR="002726EF" w:rsidRPr="00B57B6A" w:rsidRDefault="002726E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use of restraints on children with behavioral challenges is an example </w:t>
      </w:r>
      <w:r w:rsidR="001A17A0">
        <w:rPr>
          <w:rFonts w:ascii="Times New Roman" w:hAnsi="Times New Roman" w:cs="Times New Roman"/>
          <w:sz w:val="24"/>
          <w:szCs w:val="24"/>
        </w:rPr>
        <w:t xml:space="preserve">of </w:t>
      </w:r>
      <w:r w:rsidRPr="00B57B6A">
        <w:rPr>
          <w:rFonts w:ascii="Times New Roman" w:hAnsi="Times New Roman" w:cs="Times New Roman"/>
          <w:sz w:val="24"/>
          <w:szCs w:val="24"/>
        </w:rPr>
        <w:t>why the prevention of torture requires an investment in community services to allow child</w:t>
      </w:r>
      <w:r w:rsidR="001A17A0">
        <w:rPr>
          <w:rFonts w:ascii="Times New Roman" w:hAnsi="Times New Roman" w:cs="Times New Roman"/>
          <w:sz w:val="24"/>
          <w:szCs w:val="24"/>
        </w:rPr>
        <w:t>ren</w:t>
      </w:r>
      <w:r w:rsidRPr="00B57B6A">
        <w:rPr>
          <w:rFonts w:ascii="Times New Roman" w:hAnsi="Times New Roman" w:cs="Times New Roman"/>
          <w:sz w:val="24"/>
          <w:szCs w:val="24"/>
        </w:rPr>
        <w:t xml:space="preserve"> to return to</w:t>
      </w:r>
      <w:r w:rsidR="001A17A0">
        <w:rPr>
          <w:rFonts w:ascii="Times New Roman" w:hAnsi="Times New Roman" w:cs="Times New Roman"/>
          <w:sz w:val="24"/>
          <w:szCs w:val="24"/>
        </w:rPr>
        <w:t xml:space="preserve"> their</w:t>
      </w:r>
      <w:r w:rsidRPr="00B57B6A">
        <w:rPr>
          <w:rFonts w:ascii="Times New Roman" w:hAnsi="Times New Roman" w:cs="Times New Roman"/>
          <w:sz w:val="24"/>
          <w:szCs w:val="24"/>
        </w:rPr>
        <w:t xml:space="preserve"> famil</w:t>
      </w:r>
      <w:r w:rsidR="001A17A0">
        <w:rPr>
          <w:rFonts w:ascii="Times New Roman" w:hAnsi="Times New Roman" w:cs="Times New Roman"/>
          <w:sz w:val="24"/>
          <w:szCs w:val="24"/>
        </w:rPr>
        <w:t>ies</w:t>
      </w:r>
      <w:r w:rsidRPr="00B57B6A">
        <w:rPr>
          <w:rFonts w:ascii="Times New Roman" w:hAnsi="Times New Roman" w:cs="Times New Roman"/>
          <w:sz w:val="24"/>
          <w:szCs w:val="24"/>
        </w:rPr>
        <w:t>. The initial challenge, however, may be to convince authorities that community integration of these children is even possible. Research has shown that children with the most serious behavioral difficulties can be integrated into the community and benefit greatly from such inclusion.</w:t>
      </w:r>
      <w:r w:rsidRPr="00B57B6A">
        <w:rPr>
          <w:rStyle w:val="FootnoteReference"/>
          <w:rFonts w:ascii="Times New Roman" w:hAnsi="Times New Roman" w:cs="Times New Roman"/>
          <w:sz w:val="24"/>
          <w:szCs w:val="24"/>
        </w:rPr>
        <w:footnoteReference w:id="218"/>
      </w:r>
    </w:p>
    <w:p w14:paraId="7A8BC2A2" w14:textId="61FDA1DE" w:rsidR="002726EF" w:rsidRPr="00B57B6A" w:rsidRDefault="00710344"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w:t>
      </w:r>
      <w:r w:rsidR="002726EF" w:rsidRPr="00B57B6A">
        <w:rPr>
          <w:rFonts w:ascii="Times New Roman" w:hAnsi="Times New Roman" w:cs="Times New Roman"/>
          <w:sz w:val="24"/>
          <w:szCs w:val="24"/>
        </w:rPr>
        <w:t xml:space="preserve">he </w:t>
      </w:r>
      <w:r w:rsidRPr="00B57B6A">
        <w:rPr>
          <w:rFonts w:ascii="Times New Roman" w:hAnsi="Times New Roman" w:cs="Times New Roman"/>
          <w:sz w:val="24"/>
          <w:szCs w:val="24"/>
        </w:rPr>
        <w:t>steps recommended by</w:t>
      </w:r>
      <w:r w:rsidR="002726EF" w:rsidRPr="00B57B6A">
        <w:rPr>
          <w:rFonts w:ascii="Times New Roman" w:hAnsi="Times New Roman" w:cs="Times New Roman"/>
          <w:sz w:val="24"/>
          <w:szCs w:val="24"/>
        </w:rPr>
        <w:t xml:space="preserve"> the Méndez Report</w:t>
      </w:r>
      <w:r w:rsidRPr="00B57B6A">
        <w:rPr>
          <w:rFonts w:ascii="Times New Roman" w:hAnsi="Times New Roman" w:cs="Times New Roman"/>
          <w:sz w:val="24"/>
          <w:szCs w:val="24"/>
        </w:rPr>
        <w:t xml:space="preserve"> for protection within institutions</w:t>
      </w:r>
      <w:r w:rsidR="002726EF" w:rsidRPr="00B57B6A">
        <w:rPr>
          <w:rFonts w:ascii="Times New Roman" w:hAnsi="Times New Roman" w:cs="Times New Roman"/>
          <w:sz w:val="24"/>
          <w:szCs w:val="24"/>
        </w:rPr>
        <w:t xml:space="preserve"> are neces</w:t>
      </w:r>
      <w:r w:rsidRPr="00B57B6A">
        <w:rPr>
          <w:rFonts w:ascii="Times New Roman" w:hAnsi="Times New Roman" w:cs="Times New Roman"/>
          <w:sz w:val="24"/>
          <w:szCs w:val="24"/>
        </w:rPr>
        <w:t>sary but not sufficient. W</w:t>
      </w:r>
      <w:r w:rsidR="002726EF" w:rsidRPr="00B57B6A">
        <w:rPr>
          <w:rFonts w:ascii="Times New Roman" w:hAnsi="Times New Roman" w:cs="Times New Roman"/>
          <w:sz w:val="24"/>
          <w:szCs w:val="24"/>
        </w:rPr>
        <w:t>henever new investments are made in institutions, there is a risk of creating incentives to increase the institutional population. In the immediate</w:t>
      </w:r>
      <w:r w:rsidR="00DD0EB0" w:rsidRPr="00B57B6A">
        <w:rPr>
          <w:rFonts w:ascii="Times New Roman" w:hAnsi="Times New Roman" w:cs="Times New Roman"/>
          <w:sz w:val="24"/>
          <w:szCs w:val="24"/>
        </w:rPr>
        <w:t xml:space="preserve"> future</w:t>
      </w:r>
      <w:r w:rsidR="002726EF" w:rsidRPr="00B57B6A">
        <w:rPr>
          <w:rFonts w:ascii="Times New Roman" w:hAnsi="Times New Roman" w:cs="Times New Roman"/>
          <w:sz w:val="24"/>
          <w:szCs w:val="24"/>
        </w:rPr>
        <w:t>, a moratorium on new placements would stop investments in institutions from serving as a magnet for new placements.</w:t>
      </w:r>
      <w:r w:rsidRPr="00B57B6A">
        <w:rPr>
          <w:rFonts w:ascii="Times New Roman" w:hAnsi="Times New Roman" w:cs="Times New Roman"/>
          <w:sz w:val="24"/>
          <w:szCs w:val="24"/>
        </w:rPr>
        <w:t xml:space="preserve">  </w:t>
      </w:r>
      <w:r w:rsidR="006F10C5" w:rsidRPr="00B57B6A">
        <w:rPr>
          <w:rFonts w:ascii="Times New Roman" w:hAnsi="Times New Roman" w:cs="Times New Roman"/>
          <w:sz w:val="24"/>
          <w:szCs w:val="24"/>
        </w:rPr>
        <w:t>T</w:t>
      </w:r>
      <w:r w:rsidRPr="00B57B6A">
        <w:rPr>
          <w:rFonts w:ascii="Times New Roman" w:hAnsi="Times New Roman" w:cs="Times New Roman"/>
          <w:sz w:val="24"/>
          <w:szCs w:val="24"/>
        </w:rPr>
        <w:t xml:space="preserve">o effectively prevent and stop ill-treatment and torture from taking place, </w:t>
      </w:r>
      <w:r w:rsidR="006F10C5" w:rsidRPr="00B57B6A">
        <w:rPr>
          <w:rFonts w:ascii="Times New Roman" w:hAnsi="Times New Roman" w:cs="Times New Roman"/>
          <w:sz w:val="24"/>
          <w:szCs w:val="24"/>
        </w:rPr>
        <w:t xml:space="preserve">however, </w:t>
      </w:r>
      <w:r w:rsidRPr="00B57B6A">
        <w:rPr>
          <w:rFonts w:ascii="Times New Roman" w:hAnsi="Times New Roman" w:cs="Times New Roman"/>
          <w:sz w:val="24"/>
          <w:szCs w:val="24"/>
        </w:rPr>
        <w:t xml:space="preserve">governments </w:t>
      </w:r>
      <w:r w:rsidR="006F10C5" w:rsidRPr="00B57B6A">
        <w:rPr>
          <w:rFonts w:ascii="Times New Roman" w:hAnsi="Times New Roman" w:cs="Times New Roman"/>
          <w:sz w:val="24"/>
          <w:szCs w:val="24"/>
        </w:rPr>
        <w:t xml:space="preserve">must </w:t>
      </w:r>
      <w:r w:rsidRPr="00B57B6A">
        <w:rPr>
          <w:rFonts w:ascii="Times New Roman" w:hAnsi="Times New Roman" w:cs="Times New Roman"/>
          <w:sz w:val="24"/>
          <w:szCs w:val="24"/>
        </w:rPr>
        <w:t>create community-based alternatives</w:t>
      </w:r>
      <w:r w:rsidR="006F10C5" w:rsidRPr="00B57B6A">
        <w:rPr>
          <w:rFonts w:ascii="Times New Roman" w:hAnsi="Times New Roman" w:cs="Times New Roman"/>
          <w:sz w:val="24"/>
          <w:szCs w:val="24"/>
        </w:rPr>
        <w:t xml:space="preserve"> to ensure that children can live with </w:t>
      </w:r>
      <w:r w:rsidR="00742326">
        <w:rPr>
          <w:rFonts w:ascii="Times New Roman" w:hAnsi="Times New Roman" w:cs="Times New Roman"/>
          <w:sz w:val="24"/>
          <w:szCs w:val="24"/>
        </w:rPr>
        <w:t>their families.</w:t>
      </w:r>
    </w:p>
    <w:p w14:paraId="01143C22" w14:textId="5A37999D" w:rsidR="00D92079" w:rsidRPr="00B57B6A" w:rsidRDefault="00072008" w:rsidP="00EB136D">
      <w:pPr>
        <w:pStyle w:val="Heading2"/>
        <w:numPr>
          <w:ilvl w:val="0"/>
          <w:numId w:val="32"/>
        </w:numPr>
        <w:spacing w:line="240" w:lineRule="auto"/>
        <w:rPr>
          <w:rFonts w:ascii="Times New Roman" w:hAnsi="Times New Roman" w:cs="Times New Roman"/>
          <w:sz w:val="24"/>
          <w:szCs w:val="24"/>
        </w:rPr>
      </w:pPr>
      <w:bookmarkStart w:id="81" w:name="_Toc471468486"/>
      <w:r w:rsidRPr="00B57B6A">
        <w:rPr>
          <w:rFonts w:ascii="Times New Roman" w:hAnsi="Times New Roman" w:cs="Times New Roman"/>
          <w:sz w:val="24"/>
          <w:szCs w:val="24"/>
        </w:rPr>
        <w:t>Oversight and m</w:t>
      </w:r>
      <w:r w:rsidR="0085595C" w:rsidRPr="00B57B6A">
        <w:rPr>
          <w:rFonts w:ascii="Times New Roman" w:hAnsi="Times New Roman" w:cs="Times New Roman"/>
          <w:sz w:val="24"/>
          <w:szCs w:val="24"/>
        </w:rPr>
        <w:t>onitoring</w:t>
      </w:r>
      <w:bookmarkEnd w:id="81"/>
    </w:p>
    <w:p w14:paraId="4AF9AD2B" w14:textId="5411C8B3" w:rsidR="00072008" w:rsidRPr="00B57B6A" w:rsidRDefault="00072008"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One component of the</w:t>
      </w:r>
      <w:r w:rsidR="00CC6F63" w:rsidRPr="00B57B6A">
        <w:rPr>
          <w:rFonts w:ascii="Times New Roman" w:hAnsi="Times New Roman" w:cs="Times New Roman"/>
          <w:sz w:val="24"/>
          <w:szCs w:val="24"/>
        </w:rPr>
        <w:t xml:space="preserve"> Méndez</w:t>
      </w:r>
      <w:r w:rsidRPr="00B57B6A">
        <w:rPr>
          <w:rFonts w:ascii="Times New Roman" w:hAnsi="Times New Roman" w:cs="Times New Roman"/>
          <w:sz w:val="24"/>
          <w:szCs w:val="24"/>
        </w:rPr>
        <w:t xml:space="preserve"> report on Children in Detention that is unequivocally important is the requirement that governments create safeguards for monitoring and </w:t>
      </w:r>
      <w:r w:rsidR="002E200C">
        <w:rPr>
          <w:rFonts w:ascii="Times New Roman" w:hAnsi="Times New Roman" w:cs="Times New Roman"/>
          <w:sz w:val="24"/>
          <w:szCs w:val="24"/>
        </w:rPr>
        <w:t xml:space="preserve">human </w:t>
      </w:r>
      <w:r w:rsidRPr="00B57B6A">
        <w:rPr>
          <w:rFonts w:ascii="Times New Roman" w:hAnsi="Times New Roman" w:cs="Times New Roman"/>
          <w:sz w:val="24"/>
          <w:szCs w:val="24"/>
        </w:rPr>
        <w:t>rights enforcement.</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This is an example of a protection that does not reinforce existing service systems.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 UNICEF has expressed concerns that oversight, monitoring, and enforcement will not, in themselves, end the dangers inherent to institutions.</w:t>
      </w:r>
      <w:r w:rsidRPr="00B57B6A">
        <w:rPr>
          <w:rStyle w:val="FootnoteReference"/>
          <w:rFonts w:ascii="Times New Roman" w:hAnsi="Times New Roman" w:cs="Times New Roman"/>
          <w:sz w:val="24"/>
          <w:szCs w:val="24"/>
        </w:rPr>
        <w:footnoteReference w:id="219"/>
      </w:r>
      <w:r w:rsidR="006F10C5" w:rsidRPr="00B57B6A">
        <w:rPr>
          <w:rFonts w:ascii="Times New Roman" w:hAnsi="Times New Roman" w:cs="Times New Roman"/>
          <w:sz w:val="24"/>
          <w:szCs w:val="24"/>
        </w:rPr>
        <w:t xml:space="preserve"> Oversight and monitoring </w:t>
      </w:r>
      <w:r w:rsidR="002E200C">
        <w:rPr>
          <w:rFonts w:ascii="Times New Roman" w:hAnsi="Times New Roman" w:cs="Times New Roman"/>
          <w:sz w:val="24"/>
          <w:szCs w:val="24"/>
        </w:rPr>
        <w:t>are</w:t>
      </w:r>
      <w:r w:rsidR="006F10C5" w:rsidRPr="00B57B6A">
        <w:rPr>
          <w:rFonts w:ascii="Times New Roman" w:hAnsi="Times New Roman" w:cs="Times New Roman"/>
          <w:sz w:val="24"/>
          <w:szCs w:val="24"/>
        </w:rPr>
        <w:t xml:space="preserve"> also necessary but not sufficient to prevent torture.</w:t>
      </w:r>
    </w:p>
    <w:p w14:paraId="6DC8BE53" w14:textId="494D5E28" w:rsidR="00072008" w:rsidRPr="00B57B6A" w:rsidRDefault="00072008"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Special Rapporteur </w:t>
      </w:r>
      <w:r w:rsidR="00DD0EB0" w:rsidRPr="00B57B6A">
        <w:rPr>
          <w:rFonts w:ascii="Times New Roman" w:hAnsi="Times New Roman" w:cs="Times New Roman"/>
          <w:sz w:val="24"/>
          <w:szCs w:val="24"/>
        </w:rPr>
        <w:t>Méndez</w:t>
      </w:r>
      <w:r w:rsidR="00DD0EB0" w:rsidRPr="00B57B6A" w:rsidDel="00DD0EB0">
        <w:rPr>
          <w:rFonts w:ascii="Times New Roman" w:hAnsi="Times New Roman" w:cs="Times New Roman"/>
          <w:sz w:val="24"/>
          <w:szCs w:val="24"/>
        </w:rPr>
        <w:t xml:space="preserve"> </w:t>
      </w:r>
      <w:r w:rsidRPr="00B57B6A">
        <w:rPr>
          <w:rFonts w:ascii="Times New Roman" w:hAnsi="Times New Roman" w:cs="Times New Roman"/>
          <w:sz w:val="24"/>
          <w:szCs w:val="24"/>
        </w:rPr>
        <w:t>calls on governments to establish effective complaint mechanisms,</w:t>
      </w:r>
      <w:r w:rsidRPr="00B57B6A">
        <w:rPr>
          <w:rStyle w:val="FootnoteReference"/>
          <w:rFonts w:ascii="Times New Roman" w:hAnsi="Times New Roman" w:cs="Times New Roman"/>
          <w:sz w:val="24"/>
          <w:szCs w:val="24"/>
        </w:rPr>
        <w:footnoteReference w:id="220"/>
      </w:r>
      <w:r w:rsidRPr="00B57B6A">
        <w:rPr>
          <w:rFonts w:ascii="Times New Roman" w:hAnsi="Times New Roman" w:cs="Times New Roman"/>
          <w:sz w:val="24"/>
          <w:szCs w:val="24"/>
        </w:rPr>
        <w:t xml:space="preserve"> to investigate allegations of abuse,</w:t>
      </w:r>
      <w:r w:rsidRPr="00B57B6A">
        <w:rPr>
          <w:rStyle w:val="FootnoteReference"/>
          <w:rFonts w:ascii="Times New Roman" w:hAnsi="Times New Roman" w:cs="Times New Roman"/>
          <w:sz w:val="24"/>
          <w:szCs w:val="24"/>
        </w:rPr>
        <w:footnoteReference w:id="221"/>
      </w:r>
      <w:r w:rsidRPr="00B57B6A">
        <w:rPr>
          <w:rFonts w:ascii="Times New Roman" w:hAnsi="Times New Roman" w:cs="Times New Roman"/>
          <w:sz w:val="24"/>
          <w:szCs w:val="24"/>
        </w:rPr>
        <w:t xml:space="preserve"> and to create strong and independent </w:t>
      </w:r>
      <w:r w:rsidRPr="00B57B6A">
        <w:rPr>
          <w:rFonts w:ascii="Times New Roman" w:hAnsi="Times New Roman" w:cs="Times New Roman"/>
          <w:sz w:val="24"/>
          <w:szCs w:val="24"/>
        </w:rPr>
        <w:lastRenderedPageBreak/>
        <w:t>oversight mechanisms.</w:t>
      </w:r>
      <w:r w:rsidRPr="00B57B6A">
        <w:rPr>
          <w:rStyle w:val="FootnoteReference"/>
          <w:rFonts w:ascii="Times New Roman" w:hAnsi="Times New Roman" w:cs="Times New Roman"/>
          <w:sz w:val="24"/>
          <w:szCs w:val="24"/>
        </w:rPr>
        <w:footnoteReference w:id="222"/>
      </w:r>
      <w:r w:rsidR="0066171B" w:rsidRPr="00B57B6A">
        <w:rPr>
          <w:rFonts w:ascii="Times New Roman" w:hAnsi="Times New Roman" w:cs="Times New Roman"/>
          <w:sz w:val="24"/>
          <w:szCs w:val="24"/>
        </w:rPr>
        <w:t xml:space="preserve"> </w:t>
      </w:r>
      <w:r w:rsidR="00DD0EB0" w:rsidRPr="00B57B6A">
        <w:rPr>
          <w:rFonts w:ascii="Times New Roman" w:hAnsi="Times New Roman" w:cs="Times New Roman"/>
          <w:sz w:val="24"/>
          <w:szCs w:val="24"/>
        </w:rPr>
        <w:t>Méndez</w:t>
      </w:r>
      <w:r w:rsidR="00DD0EB0" w:rsidRPr="00B57B6A" w:rsidDel="00DD0EB0">
        <w:rPr>
          <w:rFonts w:ascii="Times New Roman" w:hAnsi="Times New Roman" w:cs="Times New Roman"/>
          <w:sz w:val="24"/>
          <w:szCs w:val="24"/>
        </w:rPr>
        <w:t xml:space="preserve"> </w:t>
      </w:r>
      <w:r w:rsidRPr="00B57B6A">
        <w:rPr>
          <w:rFonts w:ascii="Times New Roman" w:hAnsi="Times New Roman" w:cs="Times New Roman"/>
          <w:sz w:val="24"/>
          <w:szCs w:val="24"/>
        </w:rPr>
        <w:t>says that States should “establish independent monitoring mechanisms at all places of deprivation of liberty, including places run by private actors, through regular and unannounced visits, and to include civil society organization in the monitoring of places of deprivation of liberty.”</w:t>
      </w:r>
      <w:r w:rsidRPr="00B57B6A">
        <w:rPr>
          <w:rStyle w:val="FootnoteReference"/>
          <w:rFonts w:ascii="Times New Roman" w:hAnsi="Times New Roman" w:cs="Times New Roman"/>
          <w:sz w:val="24"/>
          <w:szCs w:val="24"/>
        </w:rPr>
        <w:footnoteReference w:id="223"/>
      </w:r>
      <w:r w:rsidR="0066171B" w:rsidRPr="00B57B6A">
        <w:rPr>
          <w:rFonts w:ascii="Times New Roman" w:hAnsi="Times New Roman" w:cs="Times New Roman"/>
          <w:sz w:val="24"/>
          <w:szCs w:val="24"/>
        </w:rPr>
        <w:t xml:space="preserve"> </w:t>
      </w:r>
    </w:p>
    <w:p w14:paraId="5F157E42" w14:textId="099D927D" w:rsidR="00072008" w:rsidRPr="00B57B6A" w:rsidRDefault="00072008" w:rsidP="00B57B6A">
      <w:pPr>
        <w:spacing w:line="240" w:lineRule="auto"/>
        <w:jc w:val="both"/>
        <w:rPr>
          <w:rFonts w:ascii="Times New Roman" w:hAnsi="Times New Roman" w:cs="Times New Roman"/>
          <w:b/>
          <w:sz w:val="24"/>
          <w:szCs w:val="24"/>
        </w:rPr>
      </w:pPr>
      <w:r w:rsidRPr="00B57B6A">
        <w:rPr>
          <w:rFonts w:ascii="Times New Roman" w:hAnsi="Times New Roman" w:cs="Times New Roman"/>
          <w:sz w:val="24"/>
          <w:szCs w:val="24"/>
        </w:rPr>
        <w:t xml:space="preserve">The Georgia example is again instructive and demonstrates the essential link between thorough monitoring </w:t>
      </w:r>
      <w:r w:rsidR="00DD0EB0" w:rsidRPr="00B57B6A">
        <w:rPr>
          <w:rFonts w:ascii="Times New Roman" w:hAnsi="Times New Roman" w:cs="Times New Roman"/>
          <w:sz w:val="24"/>
          <w:szCs w:val="24"/>
        </w:rPr>
        <w:t>and</w:t>
      </w:r>
      <w:r w:rsidRPr="00B57B6A">
        <w:rPr>
          <w:rFonts w:ascii="Times New Roman" w:hAnsi="Times New Roman" w:cs="Times New Roman"/>
          <w:sz w:val="24"/>
          <w:szCs w:val="24"/>
        </w:rPr>
        <w:t xml:space="preserve"> any effective planning for reform.</w:t>
      </w:r>
      <w:r w:rsidR="00964197">
        <w:rPr>
          <w:rFonts w:ascii="Times New Roman" w:hAnsi="Times New Roman" w:cs="Times New Roman"/>
          <w:sz w:val="24"/>
          <w:szCs w:val="24"/>
        </w:rPr>
        <w:t xml:space="preserve"> Reforms in the</w:t>
      </w:r>
      <w:r w:rsidRPr="00B57B6A">
        <w:rPr>
          <w:rFonts w:ascii="Times New Roman" w:hAnsi="Times New Roman" w:cs="Times New Roman"/>
          <w:sz w:val="24"/>
          <w:szCs w:val="24"/>
        </w:rPr>
        <w:t xml:space="preserve"> Republic of Georgi</w:t>
      </w:r>
      <w:r w:rsidR="00964197">
        <w:rPr>
          <w:rFonts w:ascii="Times New Roman" w:hAnsi="Times New Roman" w:cs="Times New Roman"/>
          <w:sz w:val="24"/>
          <w:szCs w:val="24"/>
        </w:rPr>
        <w:t xml:space="preserve">a have </w:t>
      </w:r>
      <w:r w:rsidRPr="00B57B6A">
        <w:rPr>
          <w:rFonts w:ascii="Times New Roman" w:hAnsi="Times New Roman" w:cs="Times New Roman"/>
          <w:sz w:val="24"/>
          <w:szCs w:val="24"/>
        </w:rPr>
        <w:t>been</w:t>
      </w:r>
      <w:r w:rsidR="001B2C76" w:rsidRPr="00B57B6A">
        <w:rPr>
          <w:rFonts w:ascii="Times New Roman" w:hAnsi="Times New Roman" w:cs="Times New Roman"/>
          <w:sz w:val="24"/>
          <w:szCs w:val="24"/>
        </w:rPr>
        <w:t xml:space="preserve"> </w:t>
      </w:r>
      <w:r w:rsidRPr="00B57B6A">
        <w:rPr>
          <w:rFonts w:ascii="Times New Roman" w:hAnsi="Times New Roman" w:cs="Times New Roman"/>
          <w:sz w:val="24"/>
          <w:szCs w:val="24"/>
        </w:rPr>
        <w:t>cited as</w:t>
      </w:r>
      <w:r w:rsidR="00C34970">
        <w:rPr>
          <w:rFonts w:ascii="Times New Roman" w:hAnsi="Times New Roman" w:cs="Times New Roman"/>
          <w:sz w:val="24"/>
          <w:szCs w:val="24"/>
        </w:rPr>
        <w:t xml:space="preserve"> examples of</w:t>
      </w:r>
      <w:r w:rsidRPr="00B57B6A">
        <w:rPr>
          <w:rFonts w:ascii="Times New Roman" w:hAnsi="Times New Roman" w:cs="Times New Roman"/>
          <w:sz w:val="24"/>
          <w:szCs w:val="24"/>
        </w:rPr>
        <w:t xml:space="preserve"> a “promising practice” of deinstitutionalization</w:t>
      </w:r>
      <w:r w:rsidR="001B2C76" w:rsidRPr="00B57B6A">
        <w:rPr>
          <w:rFonts w:ascii="Times New Roman" w:hAnsi="Times New Roman" w:cs="Times New Roman"/>
          <w:sz w:val="24"/>
          <w:szCs w:val="24"/>
        </w:rPr>
        <w:t xml:space="preserve"> </w:t>
      </w:r>
      <w:r w:rsidR="00243E8F" w:rsidRPr="00B57B6A">
        <w:rPr>
          <w:rFonts w:ascii="Times New Roman" w:hAnsi="Times New Roman" w:cs="Times New Roman"/>
          <w:sz w:val="24"/>
          <w:szCs w:val="24"/>
        </w:rPr>
        <w:t>in a manual on the application of the Guidelines for Alternative Care.</w:t>
      </w:r>
      <w:r w:rsidR="00243E8F" w:rsidRPr="00B57B6A">
        <w:rPr>
          <w:rStyle w:val="FootnoteReference"/>
          <w:rFonts w:ascii="Times New Roman" w:hAnsi="Times New Roman" w:cs="Times New Roman"/>
          <w:sz w:val="24"/>
          <w:szCs w:val="24"/>
        </w:rPr>
        <w:footnoteReference w:id="224"/>
      </w:r>
      <w:r w:rsidR="00243E8F" w:rsidRPr="00B57B6A">
        <w:rPr>
          <w:rFonts w:ascii="Times New Roman" w:hAnsi="Times New Roman" w:cs="Times New Roman"/>
          <w:sz w:val="24"/>
          <w:szCs w:val="24"/>
        </w:rPr>
        <w:t xml:space="preserve"> At the start of the reform, there were thought to be 2,500 children in institutions. All of the orphanages in the country were closed down except two facilities for children with disabilities. While the program was successful for the children it served, planners did not have the full information necessary to serve the </w:t>
      </w:r>
      <w:r w:rsidR="00094F88">
        <w:rPr>
          <w:rFonts w:ascii="Times New Roman" w:hAnsi="Times New Roman" w:cs="Times New Roman"/>
          <w:sz w:val="24"/>
          <w:szCs w:val="24"/>
        </w:rPr>
        <w:t>entire</w:t>
      </w:r>
      <w:r w:rsidR="00243E8F" w:rsidRPr="00B57B6A">
        <w:rPr>
          <w:rFonts w:ascii="Times New Roman" w:hAnsi="Times New Roman" w:cs="Times New Roman"/>
          <w:sz w:val="24"/>
          <w:szCs w:val="24"/>
        </w:rPr>
        <w:t xml:space="preserve"> population</w:t>
      </w:r>
      <w:r w:rsidR="00CE1A16">
        <w:rPr>
          <w:rFonts w:ascii="Times New Roman" w:hAnsi="Times New Roman" w:cs="Times New Roman"/>
          <w:sz w:val="24"/>
          <w:szCs w:val="24"/>
        </w:rPr>
        <w:t xml:space="preserve"> of children in institutions</w:t>
      </w:r>
      <w:r w:rsidR="00243E8F"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DRI’s </w:t>
      </w:r>
      <w:r w:rsidR="001B2C76" w:rsidRPr="00B57B6A">
        <w:rPr>
          <w:rFonts w:ascii="Times New Roman" w:hAnsi="Times New Roman" w:cs="Times New Roman"/>
          <w:sz w:val="24"/>
          <w:szCs w:val="24"/>
        </w:rPr>
        <w:t xml:space="preserve">2013 </w:t>
      </w:r>
      <w:r w:rsidRPr="00B57B6A">
        <w:rPr>
          <w:rFonts w:ascii="Times New Roman" w:hAnsi="Times New Roman" w:cs="Times New Roman"/>
          <w:sz w:val="24"/>
          <w:szCs w:val="24"/>
        </w:rPr>
        <w:t>investigation brought to light that</w:t>
      </w:r>
      <w:r w:rsidR="00243E8F" w:rsidRPr="00B57B6A">
        <w:rPr>
          <w:rFonts w:ascii="Times New Roman" w:hAnsi="Times New Roman" w:cs="Times New Roman"/>
          <w:sz w:val="24"/>
          <w:szCs w:val="24"/>
        </w:rPr>
        <w:t>, in addition to leaving out c</w:t>
      </w:r>
      <w:r w:rsidRPr="00B57B6A">
        <w:rPr>
          <w:rFonts w:ascii="Times New Roman" w:hAnsi="Times New Roman" w:cs="Times New Roman"/>
          <w:sz w:val="24"/>
          <w:szCs w:val="24"/>
        </w:rPr>
        <w:t xml:space="preserve">hildren </w:t>
      </w:r>
      <w:r w:rsidR="001B2C76" w:rsidRPr="00B57B6A">
        <w:rPr>
          <w:rFonts w:ascii="Times New Roman" w:hAnsi="Times New Roman" w:cs="Times New Roman"/>
          <w:sz w:val="24"/>
          <w:szCs w:val="24"/>
        </w:rPr>
        <w:t>with disabilities</w:t>
      </w:r>
      <w:r w:rsidR="00243E8F" w:rsidRPr="00B57B6A">
        <w:rPr>
          <w:rFonts w:ascii="Times New Roman" w:hAnsi="Times New Roman" w:cs="Times New Roman"/>
          <w:sz w:val="24"/>
          <w:szCs w:val="24"/>
        </w:rPr>
        <w:t>, children in religious facilities were overlooked.</w:t>
      </w:r>
      <w:bookmarkStart w:id="82" w:name="_Ref466623368"/>
      <w:r w:rsidR="00243E8F" w:rsidRPr="00B57B6A">
        <w:rPr>
          <w:rStyle w:val="FootnoteReference"/>
          <w:rFonts w:ascii="Times New Roman" w:hAnsi="Times New Roman" w:cs="Times New Roman"/>
          <w:sz w:val="24"/>
          <w:szCs w:val="24"/>
        </w:rPr>
        <w:footnoteReference w:id="225"/>
      </w:r>
      <w:bookmarkEnd w:id="82"/>
      <w:r w:rsidR="001B2C76" w:rsidRPr="00B57B6A">
        <w:rPr>
          <w:rFonts w:ascii="Times New Roman" w:hAnsi="Times New Roman" w:cs="Times New Roman"/>
          <w:sz w:val="24"/>
          <w:szCs w:val="24"/>
        </w:rPr>
        <w:t xml:space="preserve"> </w:t>
      </w:r>
      <w:r w:rsidR="00E92A0D" w:rsidRPr="00B57B6A">
        <w:rPr>
          <w:rFonts w:ascii="Times New Roman" w:hAnsi="Times New Roman" w:cs="Times New Roman"/>
          <w:sz w:val="24"/>
          <w:szCs w:val="24"/>
        </w:rPr>
        <w:t>As described to DRI investigators</w:t>
      </w:r>
      <w:r w:rsidR="006F10C5" w:rsidRPr="00B57B6A">
        <w:rPr>
          <w:rFonts w:ascii="Times New Roman" w:hAnsi="Times New Roman" w:cs="Times New Roman"/>
          <w:sz w:val="24"/>
          <w:szCs w:val="24"/>
        </w:rPr>
        <w:t xml:space="preserve"> in 2013 by t</w:t>
      </w:r>
      <w:r w:rsidR="00E92A0D" w:rsidRPr="00B57B6A">
        <w:rPr>
          <w:rFonts w:ascii="Times New Roman" w:hAnsi="Times New Roman" w:cs="Times New Roman"/>
          <w:sz w:val="24"/>
          <w:szCs w:val="24"/>
        </w:rPr>
        <w:t xml:space="preserve">he chief of the </w:t>
      </w:r>
      <w:r w:rsidR="006F10C5" w:rsidRPr="00B57B6A">
        <w:rPr>
          <w:rFonts w:ascii="Times New Roman" w:hAnsi="Times New Roman" w:cs="Times New Roman"/>
          <w:sz w:val="24"/>
          <w:szCs w:val="24"/>
        </w:rPr>
        <w:t xml:space="preserve">Georgia </w:t>
      </w:r>
      <w:r w:rsidR="00E92A0D" w:rsidRPr="00B57B6A">
        <w:rPr>
          <w:rFonts w:ascii="Times New Roman" w:hAnsi="Times New Roman" w:cs="Times New Roman"/>
          <w:sz w:val="24"/>
          <w:szCs w:val="24"/>
        </w:rPr>
        <w:t>UNICEF office</w:t>
      </w:r>
      <w:r w:rsidR="006F10C5" w:rsidRPr="00B57B6A">
        <w:rPr>
          <w:rFonts w:ascii="Times New Roman" w:hAnsi="Times New Roman" w:cs="Times New Roman"/>
          <w:sz w:val="24"/>
          <w:szCs w:val="24"/>
        </w:rPr>
        <w:t xml:space="preserve">: </w:t>
      </w:r>
      <w:r w:rsidR="00E92A0D" w:rsidRPr="00B57B6A">
        <w:rPr>
          <w:rFonts w:ascii="Times New Roman" w:hAnsi="Times New Roman" w:cs="Times New Roman"/>
          <w:sz w:val="24"/>
          <w:szCs w:val="24"/>
        </w:rPr>
        <w:t xml:space="preserve"> “[i]t is very political and sensitive. The church is very powerful….We don’t even know the exact number of institutions or kids. It is unregulated.”</w:t>
      </w:r>
      <w:r w:rsidR="00E92A0D" w:rsidRPr="00B57B6A">
        <w:rPr>
          <w:rStyle w:val="FootnoteReference"/>
          <w:rFonts w:ascii="Times New Roman" w:hAnsi="Times New Roman" w:cs="Times New Roman"/>
          <w:sz w:val="24"/>
          <w:szCs w:val="24"/>
        </w:rPr>
        <w:footnoteReference w:id="226"/>
      </w:r>
      <w:r w:rsidR="00E92A0D" w:rsidRPr="00B57B6A">
        <w:rPr>
          <w:rFonts w:ascii="Times New Roman" w:hAnsi="Times New Roman" w:cs="Times New Roman"/>
          <w:sz w:val="24"/>
          <w:szCs w:val="24"/>
        </w:rPr>
        <w:t xml:space="preserve"> As described by a leading children’s rights advocate, “It’s trafficking. The real word is trafficking. According to law, children being transferred to church institutions are supposed to be regulated by the state, but they’re not. There’s no paperwork. Nothing.”</w:t>
      </w:r>
      <w:r w:rsidR="00E92A0D" w:rsidRPr="00B57B6A">
        <w:rPr>
          <w:rStyle w:val="FootnoteReference"/>
          <w:rFonts w:ascii="Times New Roman" w:hAnsi="Times New Roman" w:cs="Times New Roman"/>
          <w:sz w:val="24"/>
          <w:szCs w:val="24"/>
        </w:rPr>
        <w:footnoteReference w:id="227"/>
      </w:r>
      <w:r w:rsidR="00E92A0D" w:rsidRPr="00B57B6A">
        <w:rPr>
          <w:rFonts w:ascii="Times New Roman" w:hAnsi="Times New Roman" w:cs="Times New Roman"/>
          <w:sz w:val="24"/>
          <w:szCs w:val="24"/>
        </w:rPr>
        <w:t xml:space="preserve"> DRI investigators were denied access to religious facilities, but in 2016 another Georgian advocacy organization was able to visit these institutions. The report demonstrated</w:t>
      </w:r>
      <w:r w:rsidR="001B2C76" w:rsidRPr="00B57B6A">
        <w:rPr>
          <w:rFonts w:ascii="Times New Roman" w:hAnsi="Times New Roman" w:cs="Times New Roman"/>
          <w:sz w:val="24"/>
          <w:szCs w:val="24"/>
        </w:rPr>
        <w:t xml:space="preserve"> the existence of an entire “shadow” system of services:</w:t>
      </w:r>
    </w:p>
    <w:p w14:paraId="7196637D" w14:textId="3A789E4B" w:rsidR="00C02BC0" w:rsidRPr="00B57B6A" w:rsidRDefault="001B2C76" w:rsidP="00B57B6A">
      <w:pPr>
        <w:autoSpaceDE w:val="0"/>
        <w:autoSpaceDN w:val="0"/>
        <w:adjustRightInd w:val="0"/>
        <w:spacing w:after="0" w:line="240" w:lineRule="auto"/>
        <w:ind w:left="720" w:right="720"/>
        <w:jc w:val="both"/>
        <w:rPr>
          <w:rFonts w:ascii="Times New Roman" w:hAnsi="Times New Roman" w:cs="Times New Roman"/>
          <w:color w:val="000000"/>
          <w:sz w:val="24"/>
          <w:szCs w:val="24"/>
        </w:rPr>
      </w:pPr>
      <w:r w:rsidRPr="00DF480F">
        <w:rPr>
          <w:rFonts w:ascii="Times New Roman" w:hAnsi="Times New Roman" w:cs="Times New Roman"/>
          <w:sz w:val="24"/>
          <w:szCs w:val="24"/>
        </w:rPr>
        <w:t xml:space="preserve">There are 1146 children living away from their biological families in 36 residential services throughout </w:t>
      </w:r>
      <w:r w:rsidRPr="00DF480F">
        <w:rPr>
          <w:rFonts w:ascii="Times New Roman" w:hAnsi="Times New Roman" w:cs="Times New Roman"/>
          <w:color w:val="000000"/>
          <w:sz w:val="24"/>
          <w:szCs w:val="24"/>
        </w:rPr>
        <w:t xml:space="preserve">Georgia. All of these services are unregulated and thus are not covered by the statutory agency’s child-protection oversight and care standards. The services where these children reside in fact largely represents a shadow system of residential care services for children, where they are admitted without any assessment and decision of the mandated statutory guardianship </w:t>
      </w:r>
      <w:r w:rsidR="006F10C5" w:rsidRPr="00DF480F">
        <w:rPr>
          <w:rFonts w:ascii="Times New Roman" w:hAnsi="Times New Roman" w:cs="Times New Roman"/>
          <w:color w:val="000000"/>
          <w:sz w:val="24"/>
          <w:szCs w:val="24"/>
        </w:rPr>
        <w:t>&amp;</w:t>
      </w:r>
      <w:r w:rsidRPr="00DF480F">
        <w:rPr>
          <w:rFonts w:ascii="Times New Roman" w:hAnsi="Times New Roman" w:cs="Times New Roman"/>
          <w:color w:val="000000"/>
          <w:sz w:val="24"/>
          <w:szCs w:val="24"/>
        </w:rPr>
        <w:t xml:space="preserve"> care authority. These children do not appear on the social services’ “radars</w:t>
      </w:r>
      <w:r w:rsidR="006F10C5" w:rsidRPr="00DF480F">
        <w:rPr>
          <w:rFonts w:ascii="Times New Roman" w:hAnsi="Times New Roman" w:cs="Times New Roman"/>
          <w:color w:val="000000"/>
          <w:sz w:val="24"/>
          <w:szCs w:val="24"/>
        </w:rPr>
        <w:t>.</w:t>
      </w:r>
      <w:r w:rsidRPr="00DF480F">
        <w:rPr>
          <w:rFonts w:ascii="Times New Roman" w:hAnsi="Times New Roman" w:cs="Times New Roman"/>
          <w:color w:val="000000"/>
          <w:sz w:val="24"/>
          <w:szCs w:val="24"/>
        </w:rPr>
        <w:t>”</w:t>
      </w:r>
      <w:bookmarkStart w:id="83" w:name="_Ref466623387"/>
      <w:r w:rsidR="00243E8F" w:rsidRPr="00DF480F">
        <w:rPr>
          <w:rStyle w:val="FootnoteReference"/>
          <w:rFonts w:ascii="Times New Roman" w:hAnsi="Times New Roman" w:cs="Times New Roman"/>
          <w:color w:val="000000"/>
          <w:sz w:val="24"/>
          <w:szCs w:val="24"/>
        </w:rPr>
        <w:footnoteReference w:id="228"/>
      </w:r>
      <w:bookmarkEnd w:id="83"/>
    </w:p>
    <w:p w14:paraId="7E82A097" w14:textId="77777777" w:rsidR="00E92A0D" w:rsidRPr="00B57B6A" w:rsidRDefault="00E92A0D" w:rsidP="00B57B6A">
      <w:pPr>
        <w:autoSpaceDE w:val="0"/>
        <w:autoSpaceDN w:val="0"/>
        <w:adjustRightInd w:val="0"/>
        <w:spacing w:after="0" w:line="240" w:lineRule="auto"/>
        <w:ind w:left="720" w:right="720"/>
        <w:rPr>
          <w:rFonts w:ascii="Times New Roman" w:hAnsi="Times New Roman" w:cs="Times New Roman"/>
          <w:sz w:val="24"/>
          <w:szCs w:val="24"/>
        </w:rPr>
      </w:pPr>
    </w:p>
    <w:p w14:paraId="0A641B14" w14:textId="22121575" w:rsidR="001B2C76" w:rsidRPr="00B57B6A" w:rsidRDefault="00E92A0D"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DRI’s findings in Georgia are not unique.</w:t>
      </w:r>
      <w:r w:rsidRPr="00B57B6A">
        <w:rPr>
          <w:rFonts w:ascii="Times New Roman" w:hAnsi="Times New Roman" w:cs="Times New Roman"/>
          <w:b/>
          <w:sz w:val="24"/>
          <w:szCs w:val="24"/>
        </w:rPr>
        <w:t xml:space="preserve"> </w:t>
      </w:r>
      <w:r w:rsidRPr="00B57B6A">
        <w:rPr>
          <w:rFonts w:ascii="Times New Roman" w:hAnsi="Times New Roman" w:cs="Times New Roman"/>
          <w:sz w:val="24"/>
          <w:szCs w:val="24"/>
        </w:rPr>
        <w:t xml:space="preserve">Romania, as </w:t>
      </w:r>
      <w:r w:rsidR="00CE1A16">
        <w:rPr>
          <w:rFonts w:ascii="Times New Roman" w:hAnsi="Times New Roman" w:cs="Times New Roman"/>
          <w:sz w:val="24"/>
          <w:szCs w:val="24"/>
        </w:rPr>
        <w:t>it</w:t>
      </w:r>
      <w:r w:rsidRPr="00B57B6A">
        <w:rPr>
          <w:rFonts w:ascii="Times New Roman" w:hAnsi="Times New Roman" w:cs="Times New Roman"/>
          <w:sz w:val="24"/>
          <w:szCs w:val="24"/>
        </w:rPr>
        <w:t xml:space="preserve"> sought access to the European Union, </w:t>
      </w:r>
      <w:r w:rsidR="00CE1A16">
        <w:rPr>
          <w:rFonts w:ascii="Times New Roman" w:hAnsi="Times New Roman" w:cs="Times New Roman"/>
          <w:sz w:val="24"/>
          <w:szCs w:val="24"/>
        </w:rPr>
        <w:t xml:space="preserve">sought </w:t>
      </w:r>
      <w:r w:rsidRPr="00B57B6A">
        <w:rPr>
          <w:rFonts w:ascii="Times New Roman" w:hAnsi="Times New Roman" w:cs="Times New Roman"/>
          <w:sz w:val="24"/>
          <w:szCs w:val="24"/>
        </w:rPr>
        <w:t xml:space="preserve">to demonstrate its commitment to deinstitutionalization and adopted a moratorium on new placement of children in institutions. Yet Romania failed to create community services and family supports for these children. </w:t>
      </w:r>
      <w:r w:rsidR="00627F01" w:rsidRPr="00B57B6A">
        <w:rPr>
          <w:rFonts w:ascii="Times New Roman" w:hAnsi="Times New Roman" w:cs="Times New Roman"/>
          <w:sz w:val="24"/>
          <w:szCs w:val="24"/>
        </w:rPr>
        <w:t>During an investigation in 2006, DRI found that infants were abandoned in maternity wards of hospitals.</w:t>
      </w:r>
      <w:r w:rsidR="00627F01" w:rsidRPr="00B57B6A">
        <w:rPr>
          <w:rStyle w:val="FootnoteReference"/>
          <w:rFonts w:ascii="Times New Roman" w:hAnsi="Times New Roman" w:cs="Times New Roman"/>
          <w:sz w:val="24"/>
          <w:szCs w:val="24"/>
        </w:rPr>
        <w:footnoteReference w:id="229"/>
      </w:r>
      <w:r w:rsidR="00627F01" w:rsidRPr="00B57B6A">
        <w:rPr>
          <w:rFonts w:ascii="Times New Roman" w:hAnsi="Times New Roman" w:cs="Times New Roman"/>
          <w:sz w:val="24"/>
          <w:szCs w:val="24"/>
        </w:rPr>
        <w:t xml:space="preserve"> DRI also discovered a facility for 65 infants </w:t>
      </w:r>
      <w:r w:rsidR="00627F01" w:rsidRPr="00B57B6A">
        <w:rPr>
          <w:rFonts w:ascii="Times New Roman" w:hAnsi="Times New Roman" w:cs="Times New Roman"/>
          <w:sz w:val="24"/>
          <w:szCs w:val="24"/>
        </w:rPr>
        <w:lastRenderedPageBreak/>
        <w:t>entirely off the public record. DRI found that the staffing at this facility was so low that the children never left their cribs.</w:t>
      </w:r>
      <w:r w:rsidR="00627F01" w:rsidRPr="00B57B6A">
        <w:rPr>
          <w:rStyle w:val="FootnoteReference"/>
          <w:rFonts w:ascii="Times New Roman" w:hAnsi="Times New Roman" w:cs="Times New Roman"/>
          <w:sz w:val="24"/>
          <w:szCs w:val="24"/>
        </w:rPr>
        <w:footnoteReference w:id="230"/>
      </w:r>
      <w:r w:rsidRPr="00B57B6A">
        <w:rPr>
          <w:rFonts w:ascii="Times New Roman" w:hAnsi="Times New Roman" w:cs="Times New Roman"/>
          <w:sz w:val="24"/>
          <w:szCs w:val="24"/>
        </w:rPr>
        <w:t xml:space="preserve"> </w:t>
      </w:r>
    </w:p>
    <w:p w14:paraId="4E33A762" w14:textId="3B6EC3A2" w:rsidR="00627F01" w:rsidRPr="00B57B6A" w:rsidRDefault="00627F01"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Romania</w:t>
      </w:r>
      <w:r w:rsidR="00DD0EB0" w:rsidRPr="00B57B6A">
        <w:rPr>
          <w:rFonts w:ascii="Times New Roman" w:hAnsi="Times New Roman" w:cs="Times New Roman"/>
          <w:sz w:val="24"/>
          <w:szCs w:val="24"/>
        </w:rPr>
        <w:t>n</w:t>
      </w:r>
      <w:r w:rsidRPr="00B57B6A">
        <w:rPr>
          <w:rFonts w:ascii="Times New Roman" w:hAnsi="Times New Roman" w:cs="Times New Roman"/>
          <w:sz w:val="24"/>
          <w:szCs w:val="24"/>
        </w:rPr>
        <w:t xml:space="preserve"> experience demonstrates the dangers of adopting a moratorium on admissions in name only – without a corresponding effort to support families or create community services. It also underscores the need for independent advocacy. The lack of data or information about children’s services is not necessarily due to lack of knowledge or comprehensive data gathering systems. For various political reasons, governments and social service authorities may know about and choose to overlook the existence of specific </w:t>
      </w:r>
      <w:r w:rsidR="0002302A">
        <w:rPr>
          <w:rFonts w:ascii="Times New Roman" w:hAnsi="Times New Roman" w:cs="Times New Roman"/>
          <w:sz w:val="24"/>
          <w:szCs w:val="24"/>
        </w:rPr>
        <w:t xml:space="preserve">residential </w:t>
      </w:r>
      <w:r w:rsidRPr="00B57B6A">
        <w:rPr>
          <w:rFonts w:ascii="Times New Roman" w:hAnsi="Times New Roman" w:cs="Times New Roman"/>
          <w:sz w:val="24"/>
          <w:szCs w:val="24"/>
        </w:rPr>
        <w:t>services or abuses.  Monitoring, oversight, and enforcement systems must be established with this awareness in mind.</w:t>
      </w:r>
    </w:p>
    <w:p w14:paraId="0FF2D4A3" w14:textId="1975EF2E" w:rsidR="003B2CCB" w:rsidRPr="00B57B6A" w:rsidRDefault="00627F01"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CR</w:t>
      </w:r>
      <w:r w:rsidR="005416CF">
        <w:rPr>
          <w:rFonts w:ascii="Times New Roman" w:hAnsi="Times New Roman" w:cs="Times New Roman"/>
          <w:sz w:val="24"/>
          <w:szCs w:val="24"/>
        </w:rPr>
        <w:t xml:space="preserve">PD provides a valuable guide </w:t>
      </w:r>
      <w:r w:rsidRPr="00B57B6A">
        <w:rPr>
          <w:rFonts w:ascii="Times New Roman" w:hAnsi="Times New Roman" w:cs="Times New Roman"/>
          <w:sz w:val="24"/>
          <w:szCs w:val="24"/>
        </w:rPr>
        <w:t xml:space="preserve">to the implementation of the recommendations in the Méndez Report. While </w:t>
      </w:r>
      <w:r w:rsidR="001F04C9" w:rsidRPr="00B57B6A">
        <w:rPr>
          <w:rFonts w:ascii="Times New Roman" w:hAnsi="Times New Roman" w:cs="Times New Roman"/>
          <w:sz w:val="24"/>
          <w:szCs w:val="24"/>
        </w:rPr>
        <w:t>A</w:t>
      </w:r>
      <w:r w:rsidRPr="00B57B6A">
        <w:rPr>
          <w:rFonts w:ascii="Times New Roman" w:hAnsi="Times New Roman" w:cs="Times New Roman"/>
          <w:sz w:val="24"/>
          <w:szCs w:val="24"/>
        </w:rPr>
        <w:t xml:space="preserve">rticle 33 of the CRPD requires data gathering at a national level to establish policies for the enforcement of the convention, </w:t>
      </w:r>
      <w:r w:rsidR="001F04C9" w:rsidRPr="00B57B6A">
        <w:rPr>
          <w:rFonts w:ascii="Times New Roman" w:hAnsi="Times New Roman" w:cs="Times New Roman"/>
          <w:sz w:val="24"/>
          <w:szCs w:val="24"/>
        </w:rPr>
        <w:t>A</w:t>
      </w:r>
      <w:r w:rsidRPr="00B57B6A">
        <w:rPr>
          <w:rFonts w:ascii="Times New Roman" w:hAnsi="Times New Roman" w:cs="Times New Roman"/>
          <w:sz w:val="24"/>
          <w:szCs w:val="24"/>
        </w:rPr>
        <w:t xml:space="preserve">rticle 16, provides for much more specific programs to monitor and protect rights in institutions and community services. To protect against violence, exploitation, and abuse, </w:t>
      </w:r>
      <w:r w:rsidR="001F04C9" w:rsidRPr="00B57B6A">
        <w:rPr>
          <w:rFonts w:ascii="Times New Roman" w:hAnsi="Times New Roman" w:cs="Times New Roman"/>
          <w:sz w:val="24"/>
          <w:szCs w:val="24"/>
        </w:rPr>
        <w:t>A</w:t>
      </w:r>
      <w:r w:rsidRPr="00B57B6A">
        <w:rPr>
          <w:rFonts w:ascii="Times New Roman" w:hAnsi="Times New Roman" w:cs="Times New Roman"/>
          <w:sz w:val="24"/>
          <w:szCs w:val="24"/>
        </w:rPr>
        <w:t>rticle 16 demonstrates that visiting and counting children in an institution once is not close to sufficient.</w:t>
      </w:r>
      <w:r w:rsidR="003B2CCB" w:rsidRPr="00B57B6A">
        <w:rPr>
          <w:rFonts w:ascii="Times New Roman" w:hAnsi="Times New Roman" w:cs="Times New Roman"/>
          <w:sz w:val="24"/>
          <w:szCs w:val="24"/>
        </w:rPr>
        <w:t xml:space="preserve">  Article 16 requires the creation of age and gender sensitive information, education, and assistance programs for people with disabilities, their families, and their caregivers.</w:t>
      </w:r>
      <w:r w:rsidR="003B2CCB" w:rsidRPr="00B57B6A">
        <w:rPr>
          <w:rStyle w:val="FootnoteReference"/>
          <w:rFonts w:ascii="Times New Roman" w:hAnsi="Times New Roman" w:cs="Times New Roman"/>
          <w:sz w:val="24"/>
          <w:szCs w:val="24"/>
        </w:rPr>
        <w:footnoteReference w:id="231"/>
      </w:r>
      <w:r w:rsidRPr="00B57B6A">
        <w:rPr>
          <w:rFonts w:ascii="Times New Roman" w:hAnsi="Times New Roman" w:cs="Times New Roman"/>
          <w:sz w:val="24"/>
          <w:szCs w:val="24"/>
        </w:rPr>
        <w:t xml:space="preserve"> </w:t>
      </w:r>
      <w:r w:rsidR="003B2CCB" w:rsidRPr="00B57B6A">
        <w:rPr>
          <w:rFonts w:ascii="Times New Roman" w:hAnsi="Times New Roman" w:cs="Times New Roman"/>
          <w:sz w:val="24"/>
          <w:szCs w:val="24"/>
        </w:rPr>
        <w:t>The CRPD requires that people with disabilities and advocacy organizations representing them be involved in monitoring and advocacy and program implementation.</w:t>
      </w:r>
      <w:r w:rsidR="003B2CCB" w:rsidRPr="00B57B6A">
        <w:rPr>
          <w:rStyle w:val="FootnoteReference"/>
          <w:rFonts w:ascii="Times New Roman" w:hAnsi="Times New Roman" w:cs="Times New Roman"/>
          <w:sz w:val="24"/>
          <w:szCs w:val="24"/>
        </w:rPr>
        <w:footnoteReference w:id="232"/>
      </w:r>
      <w:r w:rsidR="003B2CCB" w:rsidRPr="00B57B6A">
        <w:rPr>
          <w:rFonts w:ascii="Times New Roman" w:hAnsi="Times New Roman" w:cs="Times New Roman"/>
          <w:sz w:val="24"/>
          <w:szCs w:val="24"/>
        </w:rPr>
        <w:t xml:space="preserve"> This requirement reflects the experience that people who are most at-risk of abuse may be afraid or unable to speak to government authorities or even representatives of official monitoring organizations. In order to identify certain types of abuse that may be associated with stigma and shame, people who have experienced such abuse may be more able to establish trust and gain information.  </w:t>
      </w:r>
    </w:p>
    <w:p w14:paraId="7C9079A4" w14:textId="3B7D0EB6" w:rsidR="00627F01" w:rsidRPr="00B57B6A" w:rsidRDefault="003B2CCB"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Perhaps most important</w:t>
      </w:r>
      <w:r w:rsidR="0002302A">
        <w:rPr>
          <w:rFonts w:ascii="Times New Roman" w:hAnsi="Times New Roman" w:cs="Times New Roman"/>
          <w:sz w:val="24"/>
          <w:szCs w:val="24"/>
        </w:rPr>
        <w:t>ly</w:t>
      </w:r>
      <w:r w:rsidRPr="00B57B6A">
        <w:rPr>
          <w:rFonts w:ascii="Times New Roman" w:hAnsi="Times New Roman" w:cs="Times New Roman"/>
          <w:sz w:val="24"/>
          <w:szCs w:val="24"/>
        </w:rPr>
        <w:t xml:space="preserve">, </w:t>
      </w:r>
      <w:r w:rsidR="001F04C9" w:rsidRPr="00B57B6A">
        <w:rPr>
          <w:rFonts w:ascii="Times New Roman" w:hAnsi="Times New Roman" w:cs="Times New Roman"/>
          <w:sz w:val="24"/>
          <w:szCs w:val="24"/>
        </w:rPr>
        <w:t>A</w:t>
      </w:r>
      <w:r w:rsidRPr="00B57B6A">
        <w:rPr>
          <w:rFonts w:ascii="Times New Roman" w:hAnsi="Times New Roman" w:cs="Times New Roman"/>
          <w:sz w:val="24"/>
          <w:szCs w:val="24"/>
        </w:rPr>
        <w:t>rticle 16 of the CRPD emphasizes that remedies for abuse should promote “physical, cognitive and psychological recovery, rehabilitation and social reintegration….”</w:t>
      </w:r>
      <w:r w:rsidRPr="00B57B6A">
        <w:rPr>
          <w:rStyle w:val="FootnoteReference"/>
          <w:rFonts w:ascii="Times New Roman" w:hAnsi="Times New Roman" w:cs="Times New Roman"/>
          <w:sz w:val="24"/>
          <w:szCs w:val="24"/>
        </w:rPr>
        <w:footnoteReference w:id="233"/>
      </w:r>
      <w:r w:rsidRPr="00B57B6A">
        <w:rPr>
          <w:rFonts w:ascii="Times New Roman" w:hAnsi="Times New Roman" w:cs="Times New Roman"/>
          <w:sz w:val="24"/>
          <w:szCs w:val="24"/>
        </w:rPr>
        <w:t xml:space="preserve"> These remedies must be gender and age sensitive. The CRPD makes a direct link between the right to a remedy for abuse and the right to community integration.</w:t>
      </w:r>
    </w:p>
    <w:p w14:paraId="01CDD0F1" w14:textId="3D7F523C" w:rsidR="00CB078E" w:rsidRPr="00B57B6A" w:rsidRDefault="00403DF9" w:rsidP="00EB136D">
      <w:pPr>
        <w:pStyle w:val="Heading2"/>
        <w:numPr>
          <w:ilvl w:val="0"/>
          <w:numId w:val="32"/>
        </w:numPr>
        <w:spacing w:line="240" w:lineRule="auto"/>
        <w:rPr>
          <w:rFonts w:ascii="Times New Roman" w:hAnsi="Times New Roman" w:cs="Times New Roman"/>
          <w:sz w:val="24"/>
          <w:szCs w:val="24"/>
        </w:rPr>
      </w:pPr>
      <w:bookmarkStart w:id="84" w:name="_Toc471468487"/>
      <w:r w:rsidRPr="00B57B6A">
        <w:rPr>
          <w:rFonts w:ascii="Times New Roman" w:hAnsi="Times New Roman" w:cs="Times New Roman"/>
          <w:sz w:val="24"/>
          <w:szCs w:val="24"/>
        </w:rPr>
        <w:t>Benefit</w:t>
      </w:r>
      <w:r w:rsidR="009136BA">
        <w:rPr>
          <w:rFonts w:ascii="Times New Roman" w:hAnsi="Times New Roman" w:cs="Times New Roman"/>
          <w:sz w:val="24"/>
          <w:szCs w:val="24"/>
        </w:rPr>
        <w:t>s</w:t>
      </w:r>
      <w:r w:rsidRPr="00B57B6A">
        <w:rPr>
          <w:rFonts w:ascii="Times New Roman" w:hAnsi="Times New Roman" w:cs="Times New Roman"/>
          <w:sz w:val="24"/>
          <w:szCs w:val="24"/>
        </w:rPr>
        <w:t xml:space="preserve"> of a moratorium</w:t>
      </w:r>
      <w:bookmarkEnd w:id="84"/>
    </w:p>
    <w:p w14:paraId="4964CD16" w14:textId="3521FA80" w:rsidR="00B505AF" w:rsidRPr="00B57B6A" w:rsidRDefault="00B505A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After the adoption of the CRPD, European experts recommended that EU Structural Adjustment funding for new accession countries be used only to support community integration. Yet they had to confront the immediate problem of responding to abuse</w:t>
      </w:r>
      <w:r w:rsidR="00C206BC">
        <w:rPr>
          <w:rFonts w:ascii="Times New Roman" w:hAnsi="Times New Roman" w:cs="Times New Roman"/>
          <w:sz w:val="24"/>
          <w:szCs w:val="24"/>
        </w:rPr>
        <w:t>s</w:t>
      </w:r>
      <w:r w:rsidRPr="00B57B6A">
        <w:rPr>
          <w:rFonts w:ascii="Times New Roman" w:hAnsi="Times New Roman" w:cs="Times New Roman"/>
          <w:sz w:val="24"/>
          <w:szCs w:val="24"/>
        </w:rPr>
        <w:t xml:space="preserve"> within institutions, and the</w:t>
      </w:r>
      <w:r w:rsidR="008D1356" w:rsidRPr="00B57B6A">
        <w:rPr>
          <w:rFonts w:ascii="Times New Roman" w:hAnsi="Times New Roman" w:cs="Times New Roman"/>
          <w:sz w:val="24"/>
          <w:szCs w:val="24"/>
        </w:rPr>
        <w:t>y</w:t>
      </w:r>
      <w:r w:rsidRPr="00B57B6A">
        <w:rPr>
          <w:rFonts w:ascii="Times New Roman" w:hAnsi="Times New Roman" w:cs="Times New Roman"/>
          <w:sz w:val="24"/>
          <w:szCs w:val="24"/>
        </w:rPr>
        <w:t xml:space="preserve"> considered the dilemma facing donors.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The “purist” response, as they described it, would be to restrict all funding to institutions.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The European experts recognized that a “more nuanced” response might be needed to help countries going through a difficult reform process.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They suggested that if funds were used to fix up institutions, there would be “an extremely heavy onus of proof </w:t>
      </w:r>
      <w:r w:rsidR="008D1356" w:rsidRPr="00B57B6A">
        <w:rPr>
          <w:rFonts w:ascii="Times New Roman" w:hAnsi="Times New Roman" w:cs="Times New Roman"/>
          <w:sz w:val="24"/>
          <w:szCs w:val="24"/>
        </w:rPr>
        <w:t>…</w:t>
      </w:r>
      <w:r w:rsidRPr="00B57B6A">
        <w:rPr>
          <w:rFonts w:ascii="Times New Roman" w:hAnsi="Times New Roman" w:cs="Times New Roman"/>
          <w:sz w:val="24"/>
          <w:szCs w:val="24"/>
        </w:rPr>
        <w:t xml:space="preserve"> on the State to show that any such investment in institutions is strictly temporary (although it is never </w:t>
      </w:r>
      <w:r w:rsidR="00072C41">
        <w:rPr>
          <w:rFonts w:ascii="Times New Roman" w:hAnsi="Times New Roman" w:cs="Times New Roman"/>
          <w:sz w:val="24"/>
          <w:szCs w:val="24"/>
        </w:rPr>
        <w:t xml:space="preserve">experienced </w:t>
      </w:r>
      <w:r w:rsidRPr="00B57B6A">
        <w:rPr>
          <w:rFonts w:ascii="Times New Roman" w:hAnsi="Times New Roman" w:cs="Times New Roman"/>
          <w:sz w:val="24"/>
          <w:szCs w:val="24"/>
        </w:rPr>
        <w:t xml:space="preserve">that way </w:t>
      </w:r>
      <w:r w:rsidR="00072C41">
        <w:rPr>
          <w:rFonts w:ascii="Times New Roman" w:hAnsi="Times New Roman" w:cs="Times New Roman"/>
          <w:sz w:val="24"/>
          <w:szCs w:val="24"/>
        </w:rPr>
        <w:t>by</w:t>
      </w:r>
      <w:r w:rsidRPr="00B57B6A">
        <w:rPr>
          <w:rFonts w:ascii="Times New Roman" w:hAnsi="Times New Roman" w:cs="Times New Roman"/>
          <w:sz w:val="24"/>
          <w:szCs w:val="24"/>
        </w:rPr>
        <w:t xml:space="preserve"> the ‘residents’) and for the overriding purpose of </w:t>
      </w:r>
      <w:r w:rsidRPr="00B57B6A">
        <w:rPr>
          <w:rFonts w:ascii="Times New Roman" w:hAnsi="Times New Roman" w:cs="Times New Roman"/>
          <w:sz w:val="24"/>
          <w:szCs w:val="24"/>
        </w:rPr>
        <w:lastRenderedPageBreak/>
        <w:t>eliminating inhumane and degrading treatment.”</w:t>
      </w:r>
      <w:r w:rsidRPr="00B57B6A">
        <w:rPr>
          <w:rStyle w:val="FootnoteReference"/>
          <w:rFonts w:ascii="Times New Roman" w:hAnsi="Times New Roman" w:cs="Times New Roman"/>
          <w:sz w:val="24"/>
          <w:szCs w:val="24"/>
        </w:rPr>
        <w:footnoteReference w:id="234"/>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That said, the experts recommended</w:t>
      </w:r>
      <w:r w:rsidR="00304BCA">
        <w:rPr>
          <w:rFonts w:ascii="Times New Roman" w:hAnsi="Times New Roman" w:cs="Times New Roman"/>
          <w:sz w:val="24"/>
          <w:szCs w:val="24"/>
        </w:rPr>
        <w:t xml:space="preserve"> that </w:t>
      </w:r>
      <w:r w:rsidRPr="00B57B6A">
        <w:rPr>
          <w:rFonts w:ascii="Times New Roman" w:hAnsi="Times New Roman" w:cs="Times New Roman"/>
          <w:sz w:val="24"/>
          <w:szCs w:val="24"/>
        </w:rPr>
        <w:t>European financial assistance should be “expended exclusively on a transition process since primary responsibility and legal liability for existing human rights institutions rests with Member States.”</w:t>
      </w:r>
      <w:r w:rsidRPr="00B57B6A">
        <w:rPr>
          <w:rStyle w:val="FootnoteReference"/>
          <w:rFonts w:ascii="Times New Roman" w:hAnsi="Times New Roman" w:cs="Times New Roman"/>
          <w:sz w:val="24"/>
          <w:szCs w:val="24"/>
        </w:rPr>
        <w:footnoteReference w:id="235"/>
      </w:r>
      <w:r w:rsidR="00B61023">
        <w:rPr>
          <w:rFonts w:ascii="Times New Roman" w:hAnsi="Times New Roman" w:cs="Times New Roman"/>
          <w:sz w:val="24"/>
          <w:szCs w:val="24"/>
        </w:rPr>
        <w:t xml:space="preserve"> </w:t>
      </w:r>
      <w:r w:rsidRPr="00B57B6A">
        <w:rPr>
          <w:rFonts w:ascii="Times New Roman" w:hAnsi="Times New Roman" w:cs="Times New Roman"/>
          <w:sz w:val="24"/>
          <w:szCs w:val="24"/>
        </w:rPr>
        <w:t>This is a strong argument that could be extended to all foreign assistance to all countries that still have orphanages, rationalizing why international funding should be used only to support community integration.</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But it does not resolve the difficulties faced by governments themselves who have primary responsibility for the protection against torture in their own institutions.</w:t>
      </w:r>
    </w:p>
    <w:p w14:paraId="3B1C9B76" w14:textId="446691A3" w:rsidR="00B505AF" w:rsidRPr="00B57B6A" w:rsidRDefault="00B505A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In 2010, the World Health Organization Regional Office for Europe, in partnership with UNICEF and the European Commission, organized a conference of experts to confront the difficult question of responding to abusive institutions in Eastern Europe.</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The conference resulted in the adoption of the “European Declaration on the Health of Children and Young People with Intellectual Disabilities and their Families” (also known as the “Bucharest Declaration”)</w:t>
      </w:r>
      <w:r w:rsidR="00954088">
        <w:rPr>
          <w:rFonts w:ascii="Times New Roman" w:hAnsi="Times New Roman" w:cs="Times New Roman"/>
          <w:sz w:val="24"/>
          <w:szCs w:val="24"/>
        </w:rPr>
        <w:t>,</w:t>
      </w:r>
      <w:r w:rsidRPr="00B57B6A">
        <w:rPr>
          <w:rFonts w:ascii="Times New Roman" w:hAnsi="Times New Roman" w:cs="Times New Roman"/>
          <w:sz w:val="24"/>
          <w:szCs w:val="24"/>
        </w:rPr>
        <w:t xml:space="preserve"> and is historic as the first set of international standards on the rights of children that explicitly draws on the new standards established in the CRPD.</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 The Bucharest Declaration recognizes that “young people with intellectual disabilities have the right to grow up in a family environment.”</w:t>
      </w:r>
      <w:r w:rsidRPr="00B57B6A">
        <w:rPr>
          <w:rStyle w:val="FootnoteReference"/>
          <w:rFonts w:ascii="Times New Roman" w:hAnsi="Times New Roman" w:cs="Times New Roman"/>
          <w:sz w:val="24"/>
          <w:szCs w:val="24"/>
        </w:rPr>
        <w:footnoteReference w:id="236"/>
      </w:r>
      <w:r w:rsidR="0066171B" w:rsidRPr="00B57B6A">
        <w:rPr>
          <w:rFonts w:ascii="Times New Roman" w:hAnsi="Times New Roman" w:cs="Times New Roman"/>
          <w:sz w:val="24"/>
          <w:szCs w:val="24"/>
        </w:rPr>
        <w:t xml:space="preserve"> </w:t>
      </w:r>
    </w:p>
    <w:p w14:paraId="5384C8DF" w14:textId="0AC3C683" w:rsidR="00B505AF" w:rsidRPr="00B57B6A" w:rsidRDefault="00B505A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Bucharest Declaration never mentions residential care or group homes as an alternative to institutional care</w:t>
      </w:r>
      <w:r w:rsidR="006A64A8" w:rsidRPr="00B57B6A">
        <w:rPr>
          <w:rFonts w:ascii="Times New Roman" w:hAnsi="Times New Roman" w:cs="Times New Roman"/>
          <w:sz w:val="24"/>
          <w:szCs w:val="24"/>
        </w:rPr>
        <w:t>. T</w:t>
      </w:r>
      <w:r w:rsidRPr="00B57B6A">
        <w:rPr>
          <w:rFonts w:ascii="Times New Roman" w:hAnsi="Times New Roman" w:cs="Times New Roman"/>
          <w:sz w:val="24"/>
          <w:szCs w:val="24"/>
        </w:rPr>
        <w:t>he Action Plan for implementing the Declaration calls for children to be placed in kinship care, foster care, or adoption when their famil</w:t>
      </w:r>
      <w:r w:rsidR="00866110">
        <w:rPr>
          <w:rFonts w:ascii="Times New Roman" w:hAnsi="Times New Roman" w:cs="Times New Roman"/>
          <w:sz w:val="24"/>
          <w:szCs w:val="24"/>
        </w:rPr>
        <w:t>ies</w:t>
      </w:r>
      <w:r w:rsidRPr="00B57B6A">
        <w:rPr>
          <w:rFonts w:ascii="Times New Roman" w:hAnsi="Times New Roman" w:cs="Times New Roman"/>
          <w:sz w:val="24"/>
          <w:szCs w:val="24"/>
        </w:rPr>
        <w:t xml:space="preserve"> cannot keep them.</w:t>
      </w:r>
      <w:r w:rsidRPr="00B57B6A">
        <w:rPr>
          <w:rStyle w:val="FootnoteReference"/>
          <w:rFonts w:ascii="Times New Roman" w:hAnsi="Times New Roman" w:cs="Times New Roman"/>
          <w:sz w:val="24"/>
          <w:szCs w:val="24"/>
        </w:rPr>
        <w:footnoteReference w:id="237"/>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Even more importan</w:t>
      </w:r>
      <w:r w:rsidR="00365A60">
        <w:rPr>
          <w:rFonts w:ascii="Times New Roman" w:hAnsi="Times New Roman" w:cs="Times New Roman"/>
          <w:sz w:val="24"/>
          <w:szCs w:val="24"/>
        </w:rPr>
        <w:t>tly</w:t>
      </w:r>
      <w:r w:rsidRPr="00B57B6A">
        <w:rPr>
          <w:rFonts w:ascii="Times New Roman" w:hAnsi="Times New Roman" w:cs="Times New Roman"/>
          <w:sz w:val="24"/>
          <w:szCs w:val="24"/>
        </w:rPr>
        <w:t>, the Bucharest Declaration states that “</w:t>
      </w:r>
      <w:r w:rsidR="00844FE6" w:rsidRPr="00B57B6A">
        <w:rPr>
          <w:rFonts w:ascii="Times New Roman" w:hAnsi="Times New Roman" w:cs="Times New Roman"/>
          <w:sz w:val="24"/>
          <w:szCs w:val="24"/>
        </w:rPr>
        <w:t>[n]</w:t>
      </w:r>
      <w:r w:rsidRPr="00B57B6A">
        <w:rPr>
          <w:rFonts w:ascii="Times New Roman" w:hAnsi="Times New Roman" w:cs="Times New Roman"/>
          <w:sz w:val="24"/>
          <w:szCs w:val="24"/>
        </w:rPr>
        <w:t>ew admissions to such institutions should be stopped through the development of community services.”</w:t>
      </w:r>
      <w:r w:rsidRPr="00B57B6A">
        <w:rPr>
          <w:rStyle w:val="FootnoteReference"/>
          <w:rFonts w:ascii="Times New Roman" w:hAnsi="Times New Roman" w:cs="Times New Roman"/>
          <w:sz w:val="24"/>
          <w:szCs w:val="24"/>
        </w:rPr>
        <w:footnoteReference w:id="238"/>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The Action Plan states that the “first priority must be to stop all new admissions by providing adequate support to families who are struggling for care.</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Children with intellectual disabilities already living in institutional care should be given high priority in the allocation of access to community-based alternative services.”</w:t>
      </w:r>
      <w:r w:rsidRPr="00B57B6A">
        <w:rPr>
          <w:rStyle w:val="FootnoteReference"/>
          <w:rFonts w:ascii="Times New Roman" w:hAnsi="Times New Roman" w:cs="Times New Roman"/>
          <w:sz w:val="24"/>
          <w:szCs w:val="24"/>
        </w:rPr>
        <w:footnoteReference w:id="239"/>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The Bucharest </w:t>
      </w:r>
      <w:r w:rsidR="006F10C5" w:rsidRPr="00B57B6A">
        <w:rPr>
          <w:rFonts w:ascii="Times New Roman" w:hAnsi="Times New Roman" w:cs="Times New Roman"/>
          <w:sz w:val="24"/>
          <w:szCs w:val="24"/>
        </w:rPr>
        <w:t xml:space="preserve">Declaration </w:t>
      </w:r>
      <w:r w:rsidRPr="00B57B6A">
        <w:rPr>
          <w:rFonts w:ascii="Times New Roman" w:hAnsi="Times New Roman" w:cs="Times New Roman"/>
          <w:sz w:val="24"/>
          <w:szCs w:val="24"/>
        </w:rPr>
        <w:t>also emphasizes the importance of protecting children “wherever they live” to be sure that they are “guaranteed lives free from bullying, harm or abuse and should not live in fear or neglect.”</w:t>
      </w:r>
      <w:r w:rsidRPr="00B57B6A">
        <w:rPr>
          <w:rStyle w:val="FootnoteReference"/>
          <w:rFonts w:ascii="Times New Roman" w:hAnsi="Times New Roman" w:cs="Times New Roman"/>
          <w:sz w:val="24"/>
          <w:szCs w:val="24"/>
        </w:rPr>
        <w:footnoteReference w:id="240"/>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The Bucharest Declaration makes clear that children must be protected, but the focus is on the rights of the child rather than on the improvement of </w:t>
      </w:r>
      <w:r w:rsidR="000C04AF">
        <w:rPr>
          <w:rFonts w:ascii="Times New Roman" w:hAnsi="Times New Roman" w:cs="Times New Roman"/>
          <w:sz w:val="24"/>
          <w:szCs w:val="24"/>
        </w:rPr>
        <w:t xml:space="preserve">the </w:t>
      </w:r>
      <w:r w:rsidRPr="00B57B6A">
        <w:rPr>
          <w:rFonts w:ascii="Times New Roman" w:hAnsi="Times New Roman" w:cs="Times New Roman"/>
          <w:sz w:val="24"/>
          <w:szCs w:val="24"/>
        </w:rPr>
        <w:t>institution.</w:t>
      </w:r>
      <w:r w:rsidRPr="00B57B6A">
        <w:rPr>
          <w:rStyle w:val="FootnoteReference"/>
          <w:rFonts w:ascii="Times New Roman" w:hAnsi="Times New Roman" w:cs="Times New Roman"/>
          <w:sz w:val="24"/>
          <w:szCs w:val="24"/>
        </w:rPr>
        <w:footnoteReference w:id="241"/>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The background paper for the conference speaks of the importance of improving direct care and treatment but not support of the institutions themselves.</w:t>
      </w:r>
      <w:r w:rsidRPr="00B57B6A">
        <w:rPr>
          <w:rStyle w:val="FootnoteReference"/>
          <w:rFonts w:ascii="Times New Roman" w:hAnsi="Times New Roman" w:cs="Times New Roman"/>
          <w:sz w:val="24"/>
          <w:szCs w:val="24"/>
        </w:rPr>
        <w:footnoteReference w:id="242"/>
      </w:r>
    </w:p>
    <w:p w14:paraId="28614662" w14:textId="3CEA2A89" w:rsidR="00844FE6" w:rsidRPr="00B57B6A" w:rsidRDefault="00B505A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lastRenderedPageBreak/>
        <w:t xml:space="preserve">The Bucharest Declaration threads the needle by calling for the protection of children within the </w:t>
      </w:r>
      <w:r w:rsidR="006A64A8" w:rsidRPr="00B57B6A">
        <w:rPr>
          <w:rFonts w:ascii="Times New Roman" w:hAnsi="Times New Roman" w:cs="Times New Roman"/>
          <w:sz w:val="24"/>
          <w:szCs w:val="24"/>
        </w:rPr>
        <w:t xml:space="preserve">community and in the </w:t>
      </w:r>
      <w:r w:rsidRPr="00B57B6A">
        <w:rPr>
          <w:rFonts w:ascii="Times New Roman" w:hAnsi="Times New Roman" w:cs="Times New Roman"/>
          <w:sz w:val="24"/>
          <w:szCs w:val="24"/>
        </w:rPr>
        <w:t>context of ending new placements.</w:t>
      </w:r>
      <w:r w:rsidR="0066171B" w:rsidRPr="00B57B6A">
        <w:rPr>
          <w:rFonts w:ascii="Times New Roman" w:hAnsi="Times New Roman" w:cs="Times New Roman"/>
          <w:sz w:val="24"/>
          <w:szCs w:val="24"/>
        </w:rPr>
        <w:t xml:space="preserve"> </w:t>
      </w:r>
      <w:r w:rsidR="00844FE6" w:rsidRPr="00B57B6A">
        <w:rPr>
          <w:rFonts w:ascii="Times New Roman" w:hAnsi="Times New Roman" w:cs="Times New Roman"/>
          <w:sz w:val="24"/>
          <w:szCs w:val="24"/>
        </w:rPr>
        <w:t>Protections and care should be provided in a manner that follows the child wherever he or she resides -- and does not provide an incentive or excuse for detention or separation from family.</w:t>
      </w:r>
    </w:p>
    <w:p w14:paraId="03DE6417" w14:textId="23DF7507" w:rsidR="004412BB" w:rsidRPr="00B57B6A" w:rsidRDefault="004412BB" w:rsidP="00EB136D">
      <w:pPr>
        <w:pStyle w:val="Heading1"/>
        <w:numPr>
          <w:ilvl w:val="0"/>
          <w:numId w:val="35"/>
        </w:numPr>
        <w:spacing w:line="240" w:lineRule="auto"/>
        <w:rPr>
          <w:rFonts w:ascii="Times New Roman" w:hAnsi="Times New Roman" w:cs="Times New Roman"/>
          <w:sz w:val="24"/>
          <w:szCs w:val="24"/>
        </w:rPr>
      </w:pPr>
      <w:bookmarkStart w:id="85" w:name="_Toc471468488"/>
      <w:r w:rsidRPr="00B57B6A">
        <w:rPr>
          <w:rFonts w:ascii="Times New Roman" w:hAnsi="Times New Roman" w:cs="Times New Roman"/>
          <w:sz w:val="24"/>
          <w:szCs w:val="24"/>
        </w:rPr>
        <w:t>Implementing the protection against torture</w:t>
      </w:r>
      <w:bookmarkEnd w:id="85"/>
    </w:p>
    <w:p w14:paraId="05B283E0" w14:textId="59C186B9" w:rsidR="004412BB" w:rsidRPr="00B57B6A" w:rsidRDefault="004412BB" w:rsidP="00B57B6A">
      <w:pPr>
        <w:spacing w:line="240" w:lineRule="auto"/>
        <w:jc w:val="both"/>
        <w:rPr>
          <w:rFonts w:ascii="Times New Roman" w:hAnsi="Times New Roman" w:cs="Times New Roman"/>
          <w:b/>
          <w:sz w:val="24"/>
          <w:szCs w:val="24"/>
        </w:rPr>
      </w:pPr>
      <w:r w:rsidRPr="00B57B6A">
        <w:rPr>
          <w:rFonts w:ascii="Times New Roman" w:hAnsi="Times New Roman" w:cs="Times New Roman"/>
          <w:sz w:val="24"/>
          <w:szCs w:val="24"/>
        </w:rPr>
        <w:t>In calling on States to limit placement of chi</w:t>
      </w:r>
      <w:r w:rsidR="006A64A8" w:rsidRPr="00B57B6A">
        <w:rPr>
          <w:rFonts w:ascii="Times New Roman" w:hAnsi="Times New Roman" w:cs="Times New Roman"/>
          <w:sz w:val="24"/>
          <w:szCs w:val="24"/>
        </w:rPr>
        <w:t xml:space="preserve">ldren to </w:t>
      </w:r>
      <w:r w:rsidR="002F3344">
        <w:rPr>
          <w:rFonts w:ascii="Times New Roman" w:hAnsi="Times New Roman" w:cs="Times New Roman"/>
          <w:sz w:val="24"/>
          <w:szCs w:val="24"/>
        </w:rPr>
        <w:t>a measure of</w:t>
      </w:r>
      <w:r w:rsidR="006A64A8" w:rsidRPr="00B57B6A">
        <w:rPr>
          <w:rFonts w:ascii="Times New Roman" w:hAnsi="Times New Roman" w:cs="Times New Roman"/>
          <w:sz w:val="24"/>
          <w:szCs w:val="24"/>
        </w:rPr>
        <w:t xml:space="preserve"> last resort, the Mé</w:t>
      </w:r>
      <w:r w:rsidRPr="00B57B6A">
        <w:rPr>
          <w:rFonts w:ascii="Times New Roman" w:hAnsi="Times New Roman" w:cs="Times New Roman"/>
          <w:sz w:val="24"/>
          <w:szCs w:val="24"/>
        </w:rPr>
        <w:t>ndez Report enters the field with recommendations in many ways similar to the Guidelines</w:t>
      </w:r>
      <w:r w:rsidR="00E8307D">
        <w:rPr>
          <w:rFonts w:ascii="Times New Roman" w:hAnsi="Times New Roman" w:cs="Times New Roman"/>
          <w:sz w:val="24"/>
          <w:szCs w:val="24"/>
        </w:rPr>
        <w:t xml:space="preserve"> for Alternative Care</w:t>
      </w:r>
      <w:r w:rsidRPr="00B57B6A">
        <w:rPr>
          <w:rFonts w:ascii="Times New Roman" w:hAnsi="Times New Roman" w:cs="Times New Roman"/>
          <w:sz w:val="24"/>
          <w:szCs w:val="24"/>
        </w:rPr>
        <w:t xml:space="preserve"> and other reports recently inspired by the CRPD. But the </w:t>
      </w:r>
      <w:r w:rsidR="001F04C9" w:rsidRPr="00B57B6A">
        <w:rPr>
          <w:rFonts w:ascii="Times New Roman" w:hAnsi="Times New Roman" w:cs="Times New Roman"/>
          <w:sz w:val="24"/>
          <w:szCs w:val="24"/>
        </w:rPr>
        <w:t>Méndez</w:t>
      </w:r>
      <w:r w:rsidR="001F04C9" w:rsidRPr="00B57B6A" w:rsidDel="001F04C9">
        <w:rPr>
          <w:rFonts w:ascii="Times New Roman" w:hAnsi="Times New Roman" w:cs="Times New Roman"/>
          <w:sz w:val="24"/>
          <w:szCs w:val="24"/>
        </w:rPr>
        <w:t xml:space="preserve"> </w:t>
      </w:r>
      <w:r w:rsidRPr="00B57B6A">
        <w:rPr>
          <w:rFonts w:ascii="Times New Roman" w:hAnsi="Times New Roman" w:cs="Times New Roman"/>
          <w:sz w:val="24"/>
          <w:szCs w:val="24"/>
        </w:rPr>
        <w:t xml:space="preserve">report frames this as </w:t>
      </w:r>
      <w:r w:rsidR="00166ECC">
        <w:rPr>
          <w:rFonts w:ascii="Times New Roman" w:hAnsi="Times New Roman" w:cs="Times New Roman"/>
          <w:sz w:val="24"/>
          <w:szCs w:val="24"/>
        </w:rPr>
        <w:t xml:space="preserve">a </w:t>
      </w:r>
      <w:r w:rsidRPr="00B57B6A">
        <w:rPr>
          <w:rFonts w:ascii="Times New Roman" w:hAnsi="Times New Roman" w:cs="Times New Roman"/>
          <w:sz w:val="24"/>
          <w:szCs w:val="24"/>
        </w:rPr>
        <w:t xml:space="preserve">necessary </w:t>
      </w:r>
      <w:r w:rsidR="00166ECC">
        <w:rPr>
          <w:rFonts w:ascii="Times New Roman" w:hAnsi="Times New Roman" w:cs="Times New Roman"/>
          <w:sz w:val="24"/>
          <w:szCs w:val="24"/>
        </w:rPr>
        <w:t xml:space="preserve">step </w:t>
      </w:r>
      <w:r w:rsidRPr="00B57B6A">
        <w:rPr>
          <w:rFonts w:ascii="Times New Roman" w:hAnsi="Times New Roman" w:cs="Times New Roman"/>
          <w:sz w:val="24"/>
          <w:szCs w:val="24"/>
        </w:rPr>
        <w:t xml:space="preserve">to </w:t>
      </w:r>
      <w:r w:rsidR="00166ECC">
        <w:rPr>
          <w:rFonts w:ascii="Times New Roman" w:hAnsi="Times New Roman" w:cs="Times New Roman"/>
          <w:sz w:val="24"/>
          <w:szCs w:val="24"/>
        </w:rPr>
        <w:t xml:space="preserve">ensure </w:t>
      </w:r>
      <w:r w:rsidRPr="00B57B6A">
        <w:rPr>
          <w:rFonts w:ascii="Times New Roman" w:hAnsi="Times New Roman" w:cs="Times New Roman"/>
          <w:sz w:val="24"/>
          <w:szCs w:val="24"/>
        </w:rPr>
        <w:t>protect</w:t>
      </w:r>
      <w:r w:rsidR="00166ECC">
        <w:rPr>
          <w:rFonts w:ascii="Times New Roman" w:hAnsi="Times New Roman" w:cs="Times New Roman"/>
          <w:sz w:val="24"/>
          <w:szCs w:val="24"/>
        </w:rPr>
        <w:t>ion</w:t>
      </w:r>
      <w:r w:rsidRPr="00B57B6A">
        <w:rPr>
          <w:rFonts w:ascii="Times New Roman" w:hAnsi="Times New Roman" w:cs="Times New Roman"/>
          <w:sz w:val="24"/>
          <w:szCs w:val="24"/>
        </w:rPr>
        <w:t xml:space="preserve"> against torture. The </w:t>
      </w:r>
      <w:r w:rsidR="001F04C9" w:rsidRPr="00B57B6A">
        <w:rPr>
          <w:rFonts w:ascii="Times New Roman" w:hAnsi="Times New Roman" w:cs="Times New Roman"/>
          <w:sz w:val="24"/>
          <w:szCs w:val="24"/>
        </w:rPr>
        <w:t>Méndez</w:t>
      </w:r>
      <w:r w:rsidR="001F04C9" w:rsidRPr="00B57B6A" w:rsidDel="001F04C9">
        <w:rPr>
          <w:rFonts w:ascii="Times New Roman" w:hAnsi="Times New Roman" w:cs="Times New Roman"/>
          <w:sz w:val="24"/>
          <w:szCs w:val="24"/>
        </w:rPr>
        <w:t xml:space="preserve"> </w:t>
      </w:r>
      <w:r w:rsidRPr="00B57B6A">
        <w:rPr>
          <w:rFonts w:ascii="Times New Roman" w:hAnsi="Times New Roman" w:cs="Times New Roman"/>
          <w:sz w:val="24"/>
          <w:szCs w:val="24"/>
        </w:rPr>
        <w:t>report s</w:t>
      </w:r>
      <w:r w:rsidR="003E3D9F">
        <w:rPr>
          <w:rFonts w:ascii="Times New Roman" w:hAnsi="Times New Roman" w:cs="Times New Roman"/>
          <w:sz w:val="24"/>
          <w:szCs w:val="24"/>
        </w:rPr>
        <w:t>tate</w:t>
      </w:r>
      <w:r w:rsidRPr="00B57B6A">
        <w:rPr>
          <w:rFonts w:ascii="Times New Roman" w:hAnsi="Times New Roman" w:cs="Times New Roman"/>
          <w:sz w:val="24"/>
          <w:szCs w:val="24"/>
        </w:rPr>
        <w:t>s, for example, that “[a]lternatives to detention must be given priority in order to prevent torture and the ill-treatment of children.” The report gives further details, calling on governments “to provide for a variety of non-custodial, community-based alternative measures to the deprivation of liberty.”</w:t>
      </w:r>
      <w:r w:rsidRPr="00B57B6A">
        <w:rPr>
          <w:rFonts w:ascii="Times New Roman" w:hAnsi="Times New Roman" w:cs="Times New Roman"/>
          <w:sz w:val="24"/>
          <w:szCs w:val="24"/>
          <w:vertAlign w:val="superscript"/>
        </w:rPr>
        <w:footnoteReference w:id="243"/>
      </w:r>
      <w:r w:rsidRPr="00B57B6A">
        <w:rPr>
          <w:rFonts w:ascii="Times New Roman" w:hAnsi="Times New Roman" w:cs="Times New Roman"/>
          <w:sz w:val="24"/>
          <w:szCs w:val="24"/>
        </w:rPr>
        <w:t xml:space="preserve"> This is consistent with</w:t>
      </w:r>
      <w:r w:rsidR="001F04C9" w:rsidRPr="00B57B6A">
        <w:rPr>
          <w:rFonts w:ascii="Times New Roman" w:hAnsi="Times New Roman" w:cs="Times New Roman"/>
          <w:sz w:val="24"/>
          <w:szCs w:val="24"/>
        </w:rPr>
        <w:t xml:space="preserve"> Méndez’s</w:t>
      </w:r>
      <w:r w:rsidRPr="00B57B6A">
        <w:rPr>
          <w:rFonts w:ascii="Times New Roman" w:hAnsi="Times New Roman" w:cs="Times New Roman"/>
          <w:sz w:val="24"/>
          <w:szCs w:val="24"/>
        </w:rPr>
        <w:t xml:space="preserve"> earlier 2013</w:t>
      </w:r>
      <w:r w:rsidR="001F04C9" w:rsidRPr="00B57B6A">
        <w:rPr>
          <w:rFonts w:ascii="Times New Roman" w:hAnsi="Times New Roman" w:cs="Times New Roman"/>
          <w:sz w:val="24"/>
          <w:szCs w:val="24"/>
        </w:rPr>
        <w:t xml:space="preserve"> report</w:t>
      </w:r>
      <w:r w:rsidRPr="00B57B6A">
        <w:rPr>
          <w:rFonts w:ascii="Times New Roman" w:hAnsi="Times New Roman" w:cs="Times New Roman"/>
          <w:sz w:val="24"/>
          <w:szCs w:val="24"/>
        </w:rPr>
        <w:t xml:space="preserve"> on Torture in Health Care, which states that “community living, with support, is no longer a favorable policy development but an internationally recognized right.”</w:t>
      </w:r>
      <w:r w:rsidRPr="00B57B6A">
        <w:rPr>
          <w:rFonts w:ascii="Times New Roman" w:hAnsi="Times New Roman" w:cs="Times New Roman"/>
          <w:sz w:val="24"/>
          <w:szCs w:val="24"/>
          <w:vertAlign w:val="superscript"/>
        </w:rPr>
        <w:footnoteReference w:id="244"/>
      </w:r>
      <w:r w:rsidRPr="00B57B6A">
        <w:rPr>
          <w:rFonts w:ascii="Times New Roman" w:hAnsi="Times New Roman" w:cs="Times New Roman"/>
          <w:sz w:val="24"/>
          <w:szCs w:val="24"/>
        </w:rPr>
        <w:t xml:space="preserve"> </w:t>
      </w:r>
    </w:p>
    <w:p w14:paraId="2C79E0B9" w14:textId="3AC4693A" w:rsidR="004412BB" w:rsidRPr="00B57B6A" w:rsidRDefault="004412BB" w:rsidP="00B57B6A">
      <w:pPr>
        <w:pStyle w:val="Heading2"/>
        <w:numPr>
          <w:ilvl w:val="0"/>
          <w:numId w:val="28"/>
        </w:numPr>
        <w:spacing w:line="240" w:lineRule="auto"/>
        <w:rPr>
          <w:rFonts w:ascii="Times New Roman" w:hAnsi="Times New Roman" w:cs="Times New Roman"/>
          <w:sz w:val="24"/>
          <w:szCs w:val="24"/>
        </w:rPr>
      </w:pPr>
      <w:bookmarkStart w:id="86" w:name="_Toc471468489"/>
      <w:r w:rsidRPr="00B57B6A">
        <w:rPr>
          <w:rFonts w:ascii="Times New Roman" w:hAnsi="Times New Roman" w:cs="Times New Roman"/>
          <w:sz w:val="24"/>
          <w:szCs w:val="24"/>
        </w:rPr>
        <w:t>Enforcement obligations</w:t>
      </w:r>
      <w:bookmarkEnd w:id="86"/>
    </w:p>
    <w:p w14:paraId="0258FFEF" w14:textId="75FC433A" w:rsidR="004412BB" w:rsidRPr="00B57B6A" w:rsidRDefault="00C86F24"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Méndez Report and recommendations demonstrate how the authority of the anti-torture framework can be used to protect children from torture and segregation. This recognition will be meaningless, however, until it is enforced. The</w:t>
      </w:r>
      <w:r w:rsidR="00CA732A" w:rsidRPr="00B57B6A">
        <w:rPr>
          <w:rFonts w:ascii="Times New Roman" w:hAnsi="Times New Roman" w:cs="Times New Roman"/>
          <w:sz w:val="24"/>
          <w:szCs w:val="24"/>
        </w:rPr>
        <w:t xml:space="preserve"> additional </w:t>
      </w:r>
      <w:r w:rsidR="004B5B6B">
        <w:rPr>
          <w:rFonts w:ascii="Times New Roman" w:hAnsi="Times New Roman" w:cs="Times New Roman"/>
          <w:sz w:val="24"/>
          <w:szCs w:val="24"/>
        </w:rPr>
        <w:t>obligations</w:t>
      </w:r>
      <w:r w:rsidR="00CA732A" w:rsidRPr="00B57B6A">
        <w:rPr>
          <w:rFonts w:ascii="Times New Roman" w:hAnsi="Times New Roman" w:cs="Times New Roman"/>
          <w:sz w:val="24"/>
          <w:szCs w:val="24"/>
        </w:rPr>
        <w:t xml:space="preserve"> created by </w:t>
      </w:r>
      <w:r w:rsidR="008114E2">
        <w:rPr>
          <w:rFonts w:ascii="Times New Roman" w:hAnsi="Times New Roman" w:cs="Times New Roman"/>
          <w:sz w:val="24"/>
          <w:szCs w:val="24"/>
        </w:rPr>
        <w:t xml:space="preserve">the </w:t>
      </w:r>
      <w:r w:rsidR="00CA732A" w:rsidRPr="00B57B6A">
        <w:rPr>
          <w:rFonts w:ascii="Times New Roman" w:hAnsi="Times New Roman" w:cs="Times New Roman"/>
          <w:sz w:val="24"/>
          <w:szCs w:val="24"/>
        </w:rPr>
        <w:t xml:space="preserve">duty to prevent torture must be understood within </w:t>
      </w:r>
      <w:r w:rsidR="00515D87">
        <w:rPr>
          <w:rFonts w:ascii="Times New Roman" w:hAnsi="Times New Roman" w:cs="Times New Roman"/>
          <w:sz w:val="24"/>
          <w:szCs w:val="24"/>
        </w:rPr>
        <w:t>the</w:t>
      </w:r>
      <w:r w:rsidR="00CA732A" w:rsidRPr="00B57B6A">
        <w:rPr>
          <w:rFonts w:ascii="Times New Roman" w:hAnsi="Times New Roman" w:cs="Times New Roman"/>
          <w:sz w:val="24"/>
          <w:szCs w:val="24"/>
        </w:rPr>
        <w:t xml:space="preserve"> broader context of the</w:t>
      </w:r>
      <w:r w:rsidR="00515D87">
        <w:rPr>
          <w:rFonts w:ascii="Times New Roman" w:hAnsi="Times New Roman" w:cs="Times New Roman"/>
          <w:sz w:val="24"/>
          <w:szCs w:val="24"/>
        </w:rPr>
        <w:t xml:space="preserve"> critical</w:t>
      </w:r>
      <w:r w:rsidR="00CA732A" w:rsidRPr="00B57B6A">
        <w:rPr>
          <w:rFonts w:ascii="Times New Roman" w:hAnsi="Times New Roman" w:cs="Times New Roman"/>
          <w:sz w:val="24"/>
          <w:szCs w:val="24"/>
        </w:rPr>
        <w:t xml:space="preserve"> international law and standards already dedicated to protecting children and promoting their full inclusion in society. </w:t>
      </w:r>
      <w:r w:rsidRPr="00B57B6A">
        <w:rPr>
          <w:rFonts w:ascii="Times New Roman" w:hAnsi="Times New Roman" w:cs="Times New Roman"/>
          <w:sz w:val="24"/>
          <w:szCs w:val="24"/>
        </w:rPr>
        <w:t xml:space="preserve">The most influential standard in this area, </w:t>
      </w:r>
      <w:r w:rsidR="006A64A8" w:rsidRPr="00B57B6A">
        <w:rPr>
          <w:rFonts w:ascii="Times New Roman" w:hAnsi="Times New Roman" w:cs="Times New Roman"/>
          <w:sz w:val="24"/>
          <w:szCs w:val="24"/>
        </w:rPr>
        <w:t>the</w:t>
      </w:r>
      <w:r w:rsidR="004412BB" w:rsidRPr="00B57B6A">
        <w:rPr>
          <w:rFonts w:ascii="Times New Roman" w:hAnsi="Times New Roman" w:cs="Times New Roman"/>
          <w:sz w:val="24"/>
          <w:szCs w:val="24"/>
        </w:rPr>
        <w:t xml:space="preserve"> Guidelines</w:t>
      </w:r>
      <w:r w:rsidR="006A64A8"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for Alternative Care, will be strengthened by the immediate obligations </w:t>
      </w:r>
      <w:r w:rsidR="0003447D">
        <w:rPr>
          <w:rFonts w:ascii="Times New Roman" w:hAnsi="Times New Roman" w:cs="Times New Roman"/>
          <w:sz w:val="24"/>
          <w:szCs w:val="24"/>
        </w:rPr>
        <w:t>to prevent torture</w:t>
      </w:r>
      <w:r w:rsidRPr="00B57B6A">
        <w:rPr>
          <w:rFonts w:ascii="Times New Roman" w:hAnsi="Times New Roman" w:cs="Times New Roman"/>
          <w:sz w:val="24"/>
          <w:szCs w:val="24"/>
        </w:rPr>
        <w:t xml:space="preserve">. As drafted, the Guidelines </w:t>
      </w:r>
      <w:r w:rsidR="006A64A8" w:rsidRPr="00B57B6A">
        <w:rPr>
          <w:rFonts w:ascii="Times New Roman" w:hAnsi="Times New Roman" w:cs="Times New Roman"/>
          <w:sz w:val="24"/>
          <w:szCs w:val="24"/>
        </w:rPr>
        <w:t xml:space="preserve">reflect </w:t>
      </w:r>
      <w:r w:rsidRPr="00B57B6A">
        <w:rPr>
          <w:rFonts w:ascii="Times New Roman" w:hAnsi="Times New Roman" w:cs="Times New Roman"/>
          <w:sz w:val="24"/>
          <w:szCs w:val="24"/>
        </w:rPr>
        <w:t>a</w:t>
      </w:r>
      <w:r w:rsidR="006A64A8" w:rsidRPr="00B57B6A">
        <w:rPr>
          <w:rFonts w:ascii="Times New Roman" w:hAnsi="Times New Roman" w:cs="Times New Roman"/>
          <w:sz w:val="24"/>
          <w:szCs w:val="24"/>
        </w:rPr>
        <w:t xml:space="preserve"> perspective that they are policy recommendations rather </w:t>
      </w:r>
      <w:r w:rsidR="006F10C5" w:rsidRPr="00B57B6A">
        <w:rPr>
          <w:rFonts w:ascii="Times New Roman" w:hAnsi="Times New Roman" w:cs="Times New Roman"/>
          <w:sz w:val="24"/>
          <w:szCs w:val="24"/>
        </w:rPr>
        <w:t xml:space="preserve">than </w:t>
      </w:r>
      <w:r w:rsidR="006A64A8" w:rsidRPr="00B57B6A">
        <w:rPr>
          <w:rFonts w:ascii="Times New Roman" w:hAnsi="Times New Roman" w:cs="Times New Roman"/>
          <w:sz w:val="24"/>
          <w:szCs w:val="24"/>
        </w:rPr>
        <w:t xml:space="preserve">requirements necessary to enforce rights. The Guidelines </w:t>
      </w:r>
      <w:r w:rsidRPr="00B57B6A">
        <w:rPr>
          <w:rFonts w:ascii="Times New Roman" w:hAnsi="Times New Roman" w:cs="Times New Roman"/>
          <w:sz w:val="24"/>
          <w:szCs w:val="24"/>
        </w:rPr>
        <w:t xml:space="preserve">state that they are intended </w:t>
      </w:r>
      <w:r w:rsidR="004412BB" w:rsidRPr="00B57B6A">
        <w:rPr>
          <w:rFonts w:ascii="Times New Roman" w:hAnsi="Times New Roman" w:cs="Times New Roman"/>
          <w:sz w:val="24"/>
          <w:szCs w:val="24"/>
        </w:rPr>
        <w:t>to “[a]ssist and encourage” governments and “[g]uide policies.”</w:t>
      </w:r>
      <w:r w:rsidR="004412BB" w:rsidRPr="00B57B6A">
        <w:rPr>
          <w:rStyle w:val="FootnoteReference"/>
          <w:rFonts w:ascii="Times New Roman" w:hAnsi="Times New Roman" w:cs="Times New Roman"/>
          <w:sz w:val="24"/>
          <w:szCs w:val="24"/>
        </w:rPr>
        <w:footnoteReference w:id="245"/>
      </w:r>
      <w:r w:rsidR="004412BB" w:rsidRPr="00B57B6A">
        <w:rPr>
          <w:rFonts w:ascii="Times New Roman" w:hAnsi="Times New Roman" w:cs="Times New Roman"/>
          <w:sz w:val="24"/>
          <w:szCs w:val="24"/>
        </w:rPr>
        <w:t xml:space="preserve">  To “promote application” of the Guidelines for Alternative Care:</w:t>
      </w:r>
    </w:p>
    <w:p w14:paraId="2B5F340A" w14:textId="77777777" w:rsidR="004412BB" w:rsidRPr="00B57B6A" w:rsidRDefault="004412BB" w:rsidP="00B57B6A">
      <w:pPr>
        <w:spacing w:after="0"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States should, to the maximum extent of their available resources and, where appropriate, in the framework of development cooperation, allocate human and financial resources to ensure the optimal and progressive development of the present Guidelines throughout their respective territories in a timely manner.</w:t>
      </w:r>
      <w:r w:rsidRPr="00B57B6A">
        <w:rPr>
          <w:rStyle w:val="FootnoteReference"/>
          <w:rFonts w:ascii="Times New Roman" w:hAnsi="Times New Roman" w:cs="Times New Roman"/>
          <w:sz w:val="24"/>
          <w:szCs w:val="24"/>
        </w:rPr>
        <w:footnoteReference w:id="246"/>
      </w:r>
    </w:p>
    <w:p w14:paraId="7E5C30A8" w14:textId="77777777" w:rsidR="004412BB" w:rsidRPr="00B57B6A" w:rsidRDefault="004412BB" w:rsidP="00B57B6A">
      <w:pPr>
        <w:spacing w:before="1" w:after="1" w:line="240" w:lineRule="auto"/>
        <w:jc w:val="both"/>
        <w:rPr>
          <w:rFonts w:ascii="Times New Roman" w:hAnsi="Times New Roman" w:cs="Times New Roman"/>
          <w:sz w:val="24"/>
          <w:szCs w:val="24"/>
        </w:rPr>
      </w:pPr>
    </w:p>
    <w:p w14:paraId="31C3A9BF" w14:textId="08EE350C" w:rsidR="004412BB" w:rsidRPr="00B57B6A" w:rsidRDefault="00C32F22" w:rsidP="00B57B6A">
      <w:pPr>
        <w:spacing w:line="240" w:lineRule="auto"/>
        <w:jc w:val="both"/>
        <w:rPr>
          <w:rFonts w:ascii="Times New Roman" w:hAnsi="Times New Roman" w:cs="Times New Roman"/>
          <w:sz w:val="24"/>
          <w:szCs w:val="24"/>
        </w:rPr>
      </w:pPr>
      <w:r>
        <w:rPr>
          <w:rFonts w:ascii="Times New Roman" w:hAnsi="Times New Roman" w:cs="Times New Roman"/>
          <w:sz w:val="24"/>
          <w:szCs w:val="24"/>
        </w:rPr>
        <w:t>“P</w:t>
      </w:r>
      <w:r w:rsidR="004412BB" w:rsidRPr="00B57B6A">
        <w:rPr>
          <w:rFonts w:ascii="Times New Roman" w:hAnsi="Times New Roman" w:cs="Times New Roman"/>
          <w:sz w:val="24"/>
          <w:szCs w:val="24"/>
        </w:rPr>
        <w:t>rogressive development</w:t>
      </w:r>
      <w:r>
        <w:rPr>
          <w:rFonts w:ascii="Times New Roman" w:hAnsi="Times New Roman" w:cs="Times New Roman"/>
          <w:sz w:val="24"/>
          <w:szCs w:val="24"/>
        </w:rPr>
        <w:t>”</w:t>
      </w:r>
      <w:r w:rsidR="004412BB" w:rsidRPr="00B57B6A">
        <w:rPr>
          <w:rFonts w:ascii="Times New Roman" w:hAnsi="Times New Roman" w:cs="Times New Roman"/>
          <w:sz w:val="24"/>
          <w:szCs w:val="24"/>
        </w:rPr>
        <w:t xml:space="preserve"> </w:t>
      </w:r>
      <w:r>
        <w:rPr>
          <w:rFonts w:ascii="Times New Roman" w:hAnsi="Times New Roman" w:cs="Times New Roman"/>
          <w:sz w:val="24"/>
          <w:szCs w:val="24"/>
        </w:rPr>
        <w:t xml:space="preserve">of certain human rights </w:t>
      </w:r>
      <w:r w:rsidR="004412BB" w:rsidRPr="00B57B6A">
        <w:rPr>
          <w:rFonts w:ascii="Times New Roman" w:hAnsi="Times New Roman" w:cs="Times New Roman"/>
          <w:sz w:val="24"/>
          <w:szCs w:val="24"/>
        </w:rPr>
        <w:t xml:space="preserve">derives from the </w:t>
      </w:r>
      <w:r w:rsidR="00CD17B6" w:rsidRPr="00B57B6A">
        <w:rPr>
          <w:rFonts w:ascii="Times New Roman" w:hAnsi="Times New Roman" w:cs="Times New Roman"/>
          <w:sz w:val="24"/>
          <w:szCs w:val="24"/>
        </w:rPr>
        <w:t xml:space="preserve">ICESCR </w:t>
      </w:r>
      <w:r w:rsidR="00C86F24" w:rsidRPr="00B57B6A">
        <w:rPr>
          <w:rFonts w:ascii="Times New Roman" w:hAnsi="Times New Roman" w:cs="Times New Roman"/>
          <w:sz w:val="24"/>
          <w:szCs w:val="24"/>
        </w:rPr>
        <w:t xml:space="preserve">and </w:t>
      </w:r>
      <w:r>
        <w:rPr>
          <w:rFonts w:ascii="Times New Roman" w:hAnsi="Times New Roman" w:cs="Times New Roman"/>
          <w:sz w:val="24"/>
          <w:szCs w:val="24"/>
        </w:rPr>
        <w:t xml:space="preserve">is </w:t>
      </w:r>
      <w:r w:rsidR="00C86F24" w:rsidRPr="00B57B6A">
        <w:rPr>
          <w:rFonts w:ascii="Times New Roman" w:hAnsi="Times New Roman" w:cs="Times New Roman"/>
          <w:sz w:val="24"/>
          <w:szCs w:val="24"/>
        </w:rPr>
        <w:t>included in other conventions</w:t>
      </w:r>
      <w:r w:rsidR="004412BB" w:rsidRPr="00B57B6A">
        <w:rPr>
          <w:rFonts w:ascii="Times New Roman" w:hAnsi="Times New Roman" w:cs="Times New Roman"/>
          <w:sz w:val="24"/>
          <w:szCs w:val="24"/>
        </w:rPr>
        <w:t>.</w:t>
      </w:r>
      <w:r w:rsidR="00C86F24" w:rsidRPr="00B57B6A">
        <w:rPr>
          <w:rStyle w:val="FootnoteReference"/>
          <w:rFonts w:ascii="Times New Roman" w:hAnsi="Times New Roman" w:cs="Times New Roman"/>
          <w:sz w:val="24"/>
          <w:szCs w:val="24"/>
        </w:rPr>
        <w:footnoteReference w:id="247"/>
      </w:r>
      <w:r w:rsidR="006A64A8" w:rsidRPr="00B57B6A">
        <w:rPr>
          <w:rFonts w:ascii="Times New Roman" w:hAnsi="Times New Roman" w:cs="Times New Roman"/>
          <w:b/>
          <w:sz w:val="24"/>
          <w:szCs w:val="24"/>
        </w:rPr>
        <w:t xml:space="preserve"> </w:t>
      </w:r>
      <w:r w:rsidR="004412BB" w:rsidRPr="00B57B6A">
        <w:rPr>
          <w:rFonts w:ascii="Times New Roman" w:hAnsi="Times New Roman" w:cs="Times New Roman"/>
          <w:sz w:val="24"/>
          <w:szCs w:val="24"/>
        </w:rPr>
        <w:t xml:space="preserve">In order to strengthen this protection – and to make clear that immediate action is required, the ICESCR adopted General Comment #3, requiring that States must take </w:t>
      </w:r>
      <w:r w:rsidR="004412BB" w:rsidRPr="00B57B6A">
        <w:rPr>
          <w:rFonts w:ascii="Times New Roman" w:hAnsi="Times New Roman" w:cs="Times New Roman"/>
          <w:sz w:val="24"/>
          <w:szCs w:val="24"/>
        </w:rPr>
        <w:lastRenderedPageBreak/>
        <w:t>action that is “deliberate, concrete, and targeted” toward full enforcement.</w:t>
      </w:r>
      <w:r w:rsidR="004412BB" w:rsidRPr="00B57B6A">
        <w:rPr>
          <w:rStyle w:val="FootnoteReference"/>
          <w:rFonts w:ascii="Times New Roman" w:hAnsi="Times New Roman" w:cs="Times New Roman"/>
          <w:sz w:val="24"/>
          <w:szCs w:val="24"/>
        </w:rPr>
        <w:footnoteReference w:id="248"/>
      </w:r>
      <w:r w:rsidR="004412BB" w:rsidRPr="00B57B6A">
        <w:rPr>
          <w:rFonts w:ascii="Times New Roman" w:hAnsi="Times New Roman" w:cs="Times New Roman"/>
          <w:sz w:val="24"/>
          <w:szCs w:val="24"/>
        </w:rPr>
        <w:t xml:space="preserve"> </w:t>
      </w:r>
      <w:r w:rsidR="00CD17B6" w:rsidRPr="00B57B6A">
        <w:rPr>
          <w:rFonts w:ascii="Times New Roman" w:hAnsi="Times New Roman" w:cs="Times New Roman"/>
          <w:sz w:val="24"/>
          <w:szCs w:val="24"/>
        </w:rPr>
        <w:t xml:space="preserve">The Committee on Economic, Social, and Cultural Rights has also adopted recommendations on the </w:t>
      </w:r>
      <w:r w:rsidR="00F20A7A" w:rsidRPr="00B57B6A">
        <w:rPr>
          <w:rFonts w:ascii="Times New Roman" w:hAnsi="Times New Roman" w:cs="Times New Roman"/>
          <w:sz w:val="24"/>
          <w:szCs w:val="24"/>
        </w:rPr>
        <w:t xml:space="preserve">pro-active </w:t>
      </w:r>
      <w:r w:rsidR="00CD17B6" w:rsidRPr="00B57B6A">
        <w:rPr>
          <w:rFonts w:ascii="Times New Roman" w:hAnsi="Times New Roman" w:cs="Times New Roman"/>
          <w:sz w:val="24"/>
          <w:szCs w:val="24"/>
        </w:rPr>
        <w:t xml:space="preserve">steps </w:t>
      </w:r>
      <w:r w:rsidR="00F20A7A" w:rsidRPr="00B57B6A">
        <w:rPr>
          <w:rFonts w:ascii="Times New Roman" w:hAnsi="Times New Roman" w:cs="Times New Roman"/>
          <w:sz w:val="24"/>
          <w:szCs w:val="24"/>
        </w:rPr>
        <w:t xml:space="preserve">and financial investments </w:t>
      </w:r>
      <w:r w:rsidR="00CD17B6" w:rsidRPr="00B57B6A">
        <w:rPr>
          <w:rFonts w:ascii="Times New Roman" w:hAnsi="Times New Roman" w:cs="Times New Roman"/>
          <w:sz w:val="24"/>
          <w:szCs w:val="24"/>
        </w:rPr>
        <w:t xml:space="preserve">governments must take to address “structural </w:t>
      </w:r>
      <w:r w:rsidR="00F20A7A" w:rsidRPr="00B57B6A">
        <w:rPr>
          <w:rFonts w:ascii="Times New Roman" w:hAnsi="Times New Roman" w:cs="Times New Roman"/>
          <w:sz w:val="24"/>
          <w:szCs w:val="24"/>
        </w:rPr>
        <w:t>disadvantages</w:t>
      </w:r>
      <w:r w:rsidR="00CD17B6" w:rsidRPr="00B57B6A">
        <w:rPr>
          <w:rFonts w:ascii="Times New Roman" w:hAnsi="Times New Roman" w:cs="Times New Roman"/>
          <w:sz w:val="24"/>
          <w:szCs w:val="24"/>
        </w:rPr>
        <w:t>” faced by people with disabilities.</w:t>
      </w:r>
      <w:r w:rsidR="00CD17B6" w:rsidRPr="00B57B6A">
        <w:rPr>
          <w:rStyle w:val="FootnoteReference"/>
          <w:rFonts w:ascii="Times New Roman" w:hAnsi="Times New Roman" w:cs="Times New Roman"/>
          <w:sz w:val="24"/>
          <w:szCs w:val="24"/>
        </w:rPr>
        <w:footnoteReference w:id="249"/>
      </w:r>
      <w:r w:rsidR="004412BB" w:rsidRPr="00B57B6A">
        <w:rPr>
          <w:rFonts w:ascii="Times New Roman" w:hAnsi="Times New Roman" w:cs="Times New Roman"/>
          <w:sz w:val="24"/>
          <w:szCs w:val="24"/>
        </w:rPr>
        <w:t xml:space="preserve"> Thus, governments must act immediately to come up with </w:t>
      </w:r>
      <w:r w:rsidR="001F04C9" w:rsidRPr="00B57B6A">
        <w:rPr>
          <w:rFonts w:ascii="Times New Roman" w:hAnsi="Times New Roman" w:cs="Times New Roman"/>
          <w:sz w:val="24"/>
          <w:szCs w:val="24"/>
        </w:rPr>
        <w:t>concrete</w:t>
      </w:r>
      <w:r w:rsidR="004412BB" w:rsidRPr="00B57B6A">
        <w:rPr>
          <w:rFonts w:ascii="Times New Roman" w:hAnsi="Times New Roman" w:cs="Times New Roman"/>
          <w:sz w:val="24"/>
          <w:szCs w:val="24"/>
        </w:rPr>
        <w:t xml:space="preserve"> and targeted plans for full community integration of children – avoiding unnecessary placements and planning for the closure of institutions. Since the vast majority of children in orphanages come from families, immediate steps can be taken in any country to ensure that they are served there rather than in institution</w:t>
      </w:r>
      <w:r w:rsidR="00A63C26">
        <w:rPr>
          <w:rFonts w:ascii="Times New Roman" w:hAnsi="Times New Roman" w:cs="Times New Roman"/>
          <w:sz w:val="24"/>
          <w:szCs w:val="24"/>
        </w:rPr>
        <w:t>s</w:t>
      </w:r>
      <w:r w:rsidR="004412BB" w:rsidRPr="00B57B6A">
        <w:rPr>
          <w:rFonts w:ascii="Times New Roman" w:hAnsi="Times New Roman" w:cs="Times New Roman"/>
          <w:sz w:val="24"/>
          <w:szCs w:val="24"/>
        </w:rPr>
        <w:t xml:space="preserve">.  </w:t>
      </w:r>
    </w:p>
    <w:p w14:paraId="3A53E306" w14:textId="3575D152" w:rsidR="004412BB" w:rsidRPr="00B57B6A" w:rsidRDefault="004412BB"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When it comes to the creation of new community services for children with disabilities, however, additional resources will be needed. Even though it is well established that serving families in the community is less expensive</w:t>
      </w:r>
      <w:r w:rsidRPr="00B57B6A">
        <w:rPr>
          <w:rStyle w:val="FootnoteReference"/>
          <w:rFonts w:ascii="Times New Roman" w:hAnsi="Times New Roman" w:cs="Times New Roman"/>
          <w:sz w:val="24"/>
          <w:szCs w:val="24"/>
        </w:rPr>
        <w:footnoteReference w:id="250"/>
      </w:r>
      <w:r w:rsidRPr="00B57B6A">
        <w:rPr>
          <w:rFonts w:ascii="Times New Roman" w:hAnsi="Times New Roman" w:cs="Times New Roman"/>
          <w:sz w:val="24"/>
          <w:szCs w:val="24"/>
        </w:rPr>
        <w:t xml:space="preserve"> than placing </w:t>
      </w:r>
      <w:r w:rsidR="008C5847">
        <w:rPr>
          <w:rFonts w:ascii="Times New Roman" w:hAnsi="Times New Roman" w:cs="Times New Roman"/>
          <w:sz w:val="24"/>
          <w:szCs w:val="24"/>
        </w:rPr>
        <w:t>children</w:t>
      </w:r>
      <w:r w:rsidRPr="00B57B6A">
        <w:rPr>
          <w:rFonts w:ascii="Times New Roman" w:hAnsi="Times New Roman" w:cs="Times New Roman"/>
          <w:sz w:val="24"/>
          <w:szCs w:val="24"/>
        </w:rPr>
        <w:t xml:space="preserve"> in institutions, a temporary infusion of resources may be needed to help countries reform their service systems (since they must maintain the old segregated systems until new community care is established).</w:t>
      </w:r>
      <w:r w:rsidRPr="00B57B6A">
        <w:rPr>
          <w:rStyle w:val="FootnoteReference"/>
          <w:rFonts w:ascii="Times New Roman" w:hAnsi="Times New Roman" w:cs="Times New Roman"/>
          <w:sz w:val="24"/>
          <w:szCs w:val="24"/>
        </w:rPr>
        <w:footnoteReference w:id="251"/>
      </w:r>
    </w:p>
    <w:p w14:paraId="79ABE9A9" w14:textId="03EC06F7" w:rsidR="004412BB" w:rsidRPr="00B57B6A" w:rsidRDefault="004412BB" w:rsidP="00B57B6A">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Whi</w:t>
      </w:r>
      <w:r w:rsidR="00F20A7A" w:rsidRPr="00B57B6A">
        <w:rPr>
          <w:rFonts w:ascii="Times New Roman" w:hAnsi="Times New Roman" w:cs="Times New Roman"/>
          <w:sz w:val="24"/>
          <w:szCs w:val="24"/>
        </w:rPr>
        <w:t>le there is an obligation to expend</w:t>
      </w:r>
      <w:r w:rsidRPr="00B57B6A">
        <w:rPr>
          <w:rFonts w:ascii="Times New Roman" w:hAnsi="Times New Roman" w:cs="Times New Roman"/>
          <w:sz w:val="24"/>
          <w:szCs w:val="24"/>
        </w:rPr>
        <w:t xml:space="preserve"> funds</w:t>
      </w:r>
      <w:r w:rsidR="00F20A7A" w:rsidRPr="00B57B6A">
        <w:rPr>
          <w:rFonts w:ascii="Times New Roman" w:hAnsi="Times New Roman" w:cs="Times New Roman"/>
          <w:sz w:val="24"/>
          <w:szCs w:val="24"/>
        </w:rPr>
        <w:t xml:space="preserve"> to implement rights</w:t>
      </w:r>
      <w:r w:rsidRPr="00B57B6A">
        <w:rPr>
          <w:rFonts w:ascii="Times New Roman" w:hAnsi="Times New Roman" w:cs="Times New Roman"/>
          <w:sz w:val="24"/>
          <w:szCs w:val="24"/>
        </w:rPr>
        <w:t xml:space="preserve">, there is an inevitable competition for scarce resources within social service systems. </w:t>
      </w:r>
      <w:r w:rsidR="00F20A7A" w:rsidRPr="00B57B6A">
        <w:rPr>
          <w:rFonts w:ascii="Times New Roman" w:hAnsi="Times New Roman" w:cs="Times New Roman"/>
          <w:sz w:val="24"/>
          <w:szCs w:val="24"/>
        </w:rPr>
        <w:t>In any competition for funding, however,</w:t>
      </w:r>
      <w:r w:rsidRPr="00B57B6A">
        <w:rPr>
          <w:rFonts w:ascii="Times New Roman" w:hAnsi="Times New Roman" w:cs="Times New Roman"/>
          <w:sz w:val="24"/>
          <w:szCs w:val="24"/>
        </w:rPr>
        <w:t xml:space="preserve"> there </w:t>
      </w:r>
      <w:r w:rsidR="00F20A7A" w:rsidRPr="00B57B6A">
        <w:rPr>
          <w:rFonts w:ascii="Times New Roman" w:hAnsi="Times New Roman" w:cs="Times New Roman"/>
          <w:sz w:val="24"/>
          <w:szCs w:val="24"/>
        </w:rPr>
        <w:t>is inevitably a</w:t>
      </w:r>
      <w:r w:rsidRPr="00B57B6A">
        <w:rPr>
          <w:rFonts w:ascii="Times New Roman" w:hAnsi="Times New Roman" w:cs="Times New Roman"/>
          <w:sz w:val="24"/>
          <w:szCs w:val="24"/>
        </w:rPr>
        <w:t xml:space="preserve"> tendency of governments to delay – especially during times of </w:t>
      </w:r>
      <w:r w:rsidR="00234F75" w:rsidRPr="00B57B6A">
        <w:rPr>
          <w:rFonts w:ascii="Times New Roman" w:hAnsi="Times New Roman" w:cs="Times New Roman"/>
          <w:sz w:val="24"/>
          <w:szCs w:val="24"/>
        </w:rPr>
        <w:t xml:space="preserve">emergency, </w:t>
      </w:r>
      <w:r w:rsidRPr="00B57B6A">
        <w:rPr>
          <w:rFonts w:ascii="Times New Roman" w:hAnsi="Times New Roman" w:cs="Times New Roman"/>
          <w:sz w:val="24"/>
          <w:szCs w:val="24"/>
        </w:rPr>
        <w:t>economic transition or austerity.</w:t>
      </w:r>
      <w:r w:rsidRPr="00B57B6A">
        <w:rPr>
          <w:rStyle w:val="FootnoteReference"/>
          <w:rFonts w:ascii="Times New Roman" w:hAnsi="Times New Roman" w:cs="Times New Roman"/>
          <w:sz w:val="24"/>
          <w:szCs w:val="24"/>
        </w:rPr>
        <w:footnoteReference w:id="252"/>
      </w:r>
    </w:p>
    <w:p w14:paraId="533002B6" w14:textId="77777777" w:rsidR="004412BB" w:rsidRPr="00B57B6A" w:rsidRDefault="004412BB" w:rsidP="00B57B6A">
      <w:pPr>
        <w:spacing w:after="0" w:line="240" w:lineRule="auto"/>
        <w:jc w:val="both"/>
        <w:rPr>
          <w:rFonts w:ascii="Times New Roman" w:hAnsi="Times New Roman" w:cs="Times New Roman"/>
          <w:sz w:val="24"/>
          <w:szCs w:val="24"/>
        </w:rPr>
      </w:pPr>
    </w:p>
    <w:p w14:paraId="73E4E5F1" w14:textId="6E05EC96" w:rsidR="004412BB" w:rsidRPr="00B57B6A" w:rsidRDefault="004412BB" w:rsidP="00B57B6A">
      <w:pPr>
        <w:spacing w:after="0" w:line="240" w:lineRule="auto"/>
        <w:jc w:val="both"/>
        <w:rPr>
          <w:rFonts w:ascii="Times New Roman" w:hAnsi="Times New Roman" w:cs="Times New Roman"/>
          <w:i/>
          <w:sz w:val="24"/>
          <w:szCs w:val="24"/>
        </w:rPr>
      </w:pPr>
      <w:r w:rsidRPr="00B57B6A">
        <w:rPr>
          <w:rFonts w:ascii="Times New Roman" w:hAnsi="Times New Roman" w:cs="Times New Roman"/>
          <w:sz w:val="24"/>
          <w:szCs w:val="24"/>
        </w:rPr>
        <w:t>One of the important contributions of the CRPD is that it frames the right to community integration within the legal right to protection against discrimination.</w:t>
      </w:r>
      <w:bookmarkStart w:id="87" w:name="_Ref462741270"/>
      <w:r w:rsidRPr="00B57B6A">
        <w:rPr>
          <w:rStyle w:val="FootnoteReference"/>
          <w:rFonts w:ascii="Times New Roman" w:hAnsi="Times New Roman" w:cs="Times New Roman"/>
          <w:sz w:val="24"/>
          <w:szCs w:val="24"/>
        </w:rPr>
        <w:footnoteReference w:id="253"/>
      </w:r>
      <w:bookmarkEnd w:id="87"/>
      <w:r w:rsidRPr="00B57B6A">
        <w:rPr>
          <w:rFonts w:ascii="Times New Roman" w:hAnsi="Times New Roman" w:cs="Times New Roman"/>
          <w:sz w:val="24"/>
          <w:szCs w:val="24"/>
        </w:rPr>
        <w:t xml:space="preserve"> The protection against discrimination does create an obligation on governments to bring about immediate enforcement.</w:t>
      </w:r>
      <w:r w:rsidR="00F20A7A" w:rsidRPr="00B57B6A">
        <w:rPr>
          <w:rStyle w:val="FootnoteReference"/>
          <w:rFonts w:ascii="Times New Roman" w:hAnsi="Times New Roman" w:cs="Times New Roman"/>
          <w:sz w:val="24"/>
          <w:szCs w:val="24"/>
        </w:rPr>
        <w:footnoteReference w:id="254"/>
      </w:r>
      <w:r w:rsidRPr="00B57B6A">
        <w:rPr>
          <w:rFonts w:ascii="Times New Roman" w:hAnsi="Times New Roman" w:cs="Times New Roman"/>
          <w:sz w:val="24"/>
          <w:szCs w:val="24"/>
        </w:rPr>
        <w:t xml:space="preserve"> To the extent that the creation of community services may require funding, planning, and implementation over time, it has also been characterized by the European Commissioner for Human Rights as a “hybrid right” – requiring immediate implementation supplemented by careful planning and financing over time.</w:t>
      </w:r>
      <w:r w:rsidRPr="00B57B6A">
        <w:rPr>
          <w:rStyle w:val="FootnoteReference"/>
          <w:rFonts w:ascii="Times New Roman" w:hAnsi="Times New Roman" w:cs="Times New Roman"/>
          <w:sz w:val="24"/>
          <w:szCs w:val="24"/>
        </w:rPr>
        <w:footnoteReference w:id="255"/>
      </w:r>
      <w:r w:rsidRPr="00B57B6A">
        <w:rPr>
          <w:rFonts w:ascii="Times New Roman" w:hAnsi="Times New Roman" w:cs="Times New Roman"/>
          <w:sz w:val="24"/>
          <w:szCs w:val="24"/>
        </w:rPr>
        <w:t xml:space="preserve"> </w:t>
      </w:r>
      <w:r w:rsidR="00F20A7A" w:rsidRPr="00B57B6A">
        <w:rPr>
          <w:rFonts w:ascii="Times New Roman" w:hAnsi="Times New Roman" w:cs="Times New Roman"/>
          <w:sz w:val="24"/>
          <w:szCs w:val="24"/>
        </w:rPr>
        <w:t xml:space="preserve">This would include, according </w:t>
      </w:r>
      <w:r w:rsidR="006F10C5" w:rsidRPr="00B57B6A">
        <w:rPr>
          <w:rFonts w:ascii="Times New Roman" w:hAnsi="Times New Roman" w:cs="Times New Roman"/>
          <w:sz w:val="24"/>
          <w:szCs w:val="24"/>
        </w:rPr>
        <w:t xml:space="preserve">to </w:t>
      </w:r>
      <w:r w:rsidR="00F20A7A" w:rsidRPr="00B57B6A">
        <w:rPr>
          <w:rFonts w:ascii="Times New Roman" w:hAnsi="Times New Roman" w:cs="Times New Roman"/>
          <w:sz w:val="24"/>
          <w:szCs w:val="24"/>
        </w:rPr>
        <w:lastRenderedPageBreak/>
        <w:t>the European Commissioner, the obligation to adopt a no-admission policy</w:t>
      </w:r>
      <w:r w:rsidR="00234F75" w:rsidRPr="00B57B6A">
        <w:rPr>
          <w:rFonts w:ascii="Times New Roman" w:hAnsi="Times New Roman" w:cs="Times New Roman"/>
          <w:sz w:val="24"/>
          <w:szCs w:val="24"/>
        </w:rPr>
        <w:t xml:space="preserve"> and to create “a statutory and enforceable individual entitlement to a level of support which is necessary to ensure one’s dignity and ability to be included in the community.”</w:t>
      </w:r>
      <w:r w:rsidR="00234F75" w:rsidRPr="00B57B6A">
        <w:rPr>
          <w:rStyle w:val="FootnoteReference"/>
          <w:rFonts w:ascii="Times New Roman" w:hAnsi="Times New Roman" w:cs="Times New Roman"/>
          <w:sz w:val="24"/>
          <w:szCs w:val="24"/>
        </w:rPr>
        <w:footnoteReference w:id="256"/>
      </w:r>
      <w:r w:rsidR="00234F75" w:rsidRPr="00B57B6A">
        <w:rPr>
          <w:rFonts w:ascii="Times New Roman" w:hAnsi="Times New Roman" w:cs="Times New Roman"/>
          <w:sz w:val="24"/>
          <w:szCs w:val="24"/>
        </w:rPr>
        <w:t xml:space="preserve">  Governments must budget the necessary resources to “enable a child </w:t>
      </w:r>
      <w:r w:rsidR="00B56E67">
        <w:rPr>
          <w:rFonts w:ascii="Times New Roman" w:hAnsi="Times New Roman" w:cs="Times New Roman"/>
          <w:sz w:val="24"/>
          <w:szCs w:val="24"/>
        </w:rPr>
        <w:t xml:space="preserve">[to live] </w:t>
      </w:r>
      <w:r w:rsidR="00234F75" w:rsidRPr="00B57B6A">
        <w:rPr>
          <w:rFonts w:ascii="Times New Roman" w:hAnsi="Times New Roman" w:cs="Times New Roman"/>
          <w:sz w:val="24"/>
          <w:szCs w:val="24"/>
        </w:rPr>
        <w:t>a full life within family and community and prevent isolation and institutionalization.”</w:t>
      </w:r>
      <w:r w:rsidR="00234F75" w:rsidRPr="00B57B6A">
        <w:rPr>
          <w:rStyle w:val="FootnoteReference"/>
          <w:rFonts w:ascii="Times New Roman" w:hAnsi="Times New Roman" w:cs="Times New Roman"/>
          <w:sz w:val="24"/>
          <w:szCs w:val="24"/>
        </w:rPr>
        <w:footnoteReference w:id="257"/>
      </w:r>
    </w:p>
    <w:p w14:paraId="2F5648FC" w14:textId="77777777" w:rsidR="004412BB" w:rsidRPr="00B57B6A" w:rsidRDefault="004412BB" w:rsidP="00B57B6A">
      <w:pPr>
        <w:spacing w:after="0" w:line="240" w:lineRule="auto"/>
        <w:jc w:val="both"/>
        <w:rPr>
          <w:rFonts w:ascii="Times New Roman" w:hAnsi="Times New Roman" w:cs="Times New Roman"/>
          <w:sz w:val="24"/>
          <w:szCs w:val="24"/>
        </w:rPr>
      </w:pPr>
    </w:p>
    <w:p w14:paraId="1C3ABDE5" w14:textId="74522289" w:rsidR="004412BB" w:rsidRPr="00B57B6A" w:rsidRDefault="00234F75" w:rsidP="00B57B6A">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Powerful as the obligations already are</w:t>
      </w:r>
      <w:r w:rsidR="004412BB" w:rsidRPr="00B57B6A">
        <w:rPr>
          <w:rFonts w:ascii="Times New Roman" w:hAnsi="Times New Roman" w:cs="Times New Roman"/>
          <w:sz w:val="24"/>
          <w:szCs w:val="24"/>
        </w:rPr>
        <w:t xml:space="preserve">, the </w:t>
      </w:r>
      <w:r w:rsidR="00B55892">
        <w:rPr>
          <w:rFonts w:ascii="Times New Roman" w:hAnsi="Times New Roman" w:cs="Times New Roman"/>
          <w:sz w:val="24"/>
          <w:szCs w:val="24"/>
        </w:rPr>
        <w:t>T</w:t>
      </w:r>
      <w:r w:rsidR="004412BB" w:rsidRPr="00B57B6A">
        <w:rPr>
          <w:rFonts w:ascii="Times New Roman" w:hAnsi="Times New Roman" w:cs="Times New Roman"/>
          <w:sz w:val="24"/>
          <w:szCs w:val="24"/>
        </w:rPr>
        <w:t xml:space="preserve">orture </w:t>
      </w:r>
      <w:r w:rsidR="00B56E67">
        <w:rPr>
          <w:rFonts w:ascii="Times New Roman" w:hAnsi="Times New Roman" w:cs="Times New Roman"/>
          <w:sz w:val="24"/>
          <w:szCs w:val="24"/>
        </w:rPr>
        <w:t>S</w:t>
      </w:r>
      <w:r w:rsidR="00B55892">
        <w:rPr>
          <w:rFonts w:ascii="Times New Roman" w:hAnsi="Times New Roman" w:cs="Times New Roman"/>
          <w:sz w:val="24"/>
          <w:szCs w:val="24"/>
        </w:rPr>
        <w:t xml:space="preserve">tandard </w:t>
      </w:r>
      <w:r w:rsidR="004412BB" w:rsidRPr="00B57B6A">
        <w:rPr>
          <w:rFonts w:ascii="Times New Roman" w:hAnsi="Times New Roman" w:cs="Times New Roman"/>
          <w:sz w:val="24"/>
          <w:szCs w:val="24"/>
        </w:rPr>
        <w:t xml:space="preserve">adds critical new elements. Where a practice constitutes torture, the lack of resources </w:t>
      </w:r>
      <w:r w:rsidR="00593714">
        <w:rPr>
          <w:rFonts w:ascii="Times New Roman" w:hAnsi="Times New Roman" w:cs="Times New Roman"/>
          <w:sz w:val="24"/>
          <w:szCs w:val="24"/>
        </w:rPr>
        <w:t>cannot be an</w:t>
      </w:r>
      <w:r w:rsidR="004412BB" w:rsidRPr="00B57B6A">
        <w:rPr>
          <w:rFonts w:ascii="Times New Roman" w:hAnsi="Times New Roman" w:cs="Times New Roman"/>
          <w:sz w:val="24"/>
          <w:szCs w:val="24"/>
        </w:rPr>
        <w:t xml:space="preserve"> excuse for </w:t>
      </w:r>
      <w:r w:rsidR="00593714">
        <w:rPr>
          <w:rFonts w:ascii="Times New Roman" w:hAnsi="Times New Roman" w:cs="Times New Roman"/>
          <w:sz w:val="24"/>
          <w:szCs w:val="24"/>
        </w:rPr>
        <w:t>its</w:t>
      </w:r>
      <w:r w:rsidR="004412BB" w:rsidRPr="00B57B6A">
        <w:rPr>
          <w:rFonts w:ascii="Times New Roman" w:hAnsi="Times New Roman" w:cs="Times New Roman"/>
          <w:sz w:val="24"/>
          <w:szCs w:val="24"/>
        </w:rPr>
        <w:t xml:space="preserve"> continuation. </w:t>
      </w:r>
      <w:r w:rsidR="00012471" w:rsidRPr="00B57B6A">
        <w:rPr>
          <w:rFonts w:ascii="Times New Roman" w:hAnsi="Times New Roman" w:cs="Times New Roman"/>
          <w:sz w:val="24"/>
          <w:szCs w:val="24"/>
        </w:rPr>
        <w:t>Méndez</w:t>
      </w:r>
      <w:r w:rsidR="00012471" w:rsidRPr="00B57B6A" w:rsidDel="00012471">
        <w:rPr>
          <w:rFonts w:ascii="Times New Roman" w:hAnsi="Times New Roman" w:cs="Times New Roman"/>
          <w:sz w:val="24"/>
          <w:szCs w:val="24"/>
        </w:rPr>
        <w:t xml:space="preserve"> </w:t>
      </w:r>
      <w:r w:rsidR="004412BB" w:rsidRPr="00B57B6A">
        <w:rPr>
          <w:rFonts w:ascii="Times New Roman" w:hAnsi="Times New Roman" w:cs="Times New Roman"/>
          <w:sz w:val="24"/>
          <w:szCs w:val="24"/>
        </w:rPr>
        <w:t>addressed this issue in his recent analysis of the torture protection in the context of healthcare:</w:t>
      </w:r>
      <w:r w:rsidR="00FA480F" w:rsidRPr="00B57B6A">
        <w:rPr>
          <w:rFonts w:ascii="Times New Roman" w:hAnsi="Times New Roman" w:cs="Times New Roman"/>
          <w:sz w:val="24"/>
          <w:szCs w:val="24"/>
        </w:rPr>
        <w:t xml:space="preserve"> </w:t>
      </w:r>
    </w:p>
    <w:p w14:paraId="1493C592" w14:textId="77777777" w:rsidR="004412BB" w:rsidRPr="00B57B6A" w:rsidRDefault="004412BB" w:rsidP="00B57B6A">
      <w:pPr>
        <w:spacing w:after="0" w:line="240" w:lineRule="auto"/>
        <w:jc w:val="both"/>
        <w:rPr>
          <w:rFonts w:ascii="Times New Roman" w:hAnsi="Times New Roman" w:cs="Times New Roman"/>
          <w:sz w:val="24"/>
          <w:szCs w:val="24"/>
        </w:rPr>
      </w:pPr>
    </w:p>
    <w:p w14:paraId="040F418B" w14:textId="2898CA30" w:rsidR="004412BB" w:rsidRPr="00B57B6A" w:rsidRDefault="004412BB" w:rsidP="00B57B6A">
      <w:pPr>
        <w:spacing w:after="0"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…the absolute and non-derogable nature of the right to protection from torture and ill-treatment establishes objective restrictions on certain therapies. In the context of health-related abuses, the focus on the prohibition of torture strengthens the call for accountability and strikes a proper balance between individual freedom and dignity and public health concerns. In that fashion, attention to the torture framework ensures that system inadequacies, lack of resources or services will not justify ill-treatment. Although resource constraints may justify only partial fulfillment of some aspects of the right to health, a State cannot justify its non-compliance with core obligations, such as the absolute prohibition of torture, under any circumstances.</w:t>
      </w:r>
      <w:r w:rsidRPr="00B57B6A">
        <w:rPr>
          <w:rStyle w:val="FootnoteReference"/>
          <w:rFonts w:ascii="Times New Roman" w:hAnsi="Times New Roman" w:cs="Times New Roman"/>
          <w:sz w:val="24"/>
          <w:szCs w:val="24"/>
        </w:rPr>
        <w:footnoteReference w:id="258"/>
      </w:r>
    </w:p>
    <w:p w14:paraId="50017AB0" w14:textId="77777777" w:rsidR="00176D71" w:rsidRPr="00B57B6A" w:rsidRDefault="00176D71" w:rsidP="00B57B6A">
      <w:pPr>
        <w:spacing w:after="0" w:line="240" w:lineRule="auto"/>
        <w:jc w:val="both"/>
        <w:rPr>
          <w:rFonts w:ascii="Times New Roman" w:hAnsi="Times New Roman" w:cs="Times New Roman"/>
          <w:sz w:val="24"/>
          <w:szCs w:val="24"/>
        </w:rPr>
      </w:pPr>
    </w:p>
    <w:p w14:paraId="3172C264" w14:textId="325CA81D" w:rsidR="00176D71" w:rsidRPr="00B57B6A" w:rsidRDefault="00176D71" w:rsidP="00016E6A">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The protection against torture provides the strongest possible claim on government resources.  The European Court has taken a similar stand, making it clear that the lack of financial resources cannot be us</w:t>
      </w:r>
      <w:r w:rsidR="00923FBF">
        <w:rPr>
          <w:rFonts w:ascii="Times New Roman" w:hAnsi="Times New Roman" w:cs="Times New Roman"/>
          <w:sz w:val="24"/>
          <w:szCs w:val="24"/>
        </w:rPr>
        <w:t>ed</w:t>
      </w:r>
      <w:r w:rsidRPr="00B57B6A">
        <w:rPr>
          <w:rFonts w:ascii="Times New Roman" w:hAnsi="Times New Roman" w:cs="Times New Roman"/>
          <w:sz w:val="24"/>
          <w:szCs w:val="24"/>
        </w:rPr>
        <w:t xml:space="preserve"> to justify conditions of detention that amount to ill-treatment or torture.</w:t>
      </w:r>
      <w:r w:rsidRPr="00B57B6A">
        <w:rPr>
          <w:rStyle w:val="FootnoteReference"/>
          <w:rFonts w:ascii="Times New Roman" w:hAnsi="Times New Roman" w:cs="Times New Roman"/>
          <w:sz w:val="24"/>
          <w:szCs w:val="24"/>
        </w:rPr>
        <w:footnoteReference w:id="259"/>
      </w:r>
      <w:r w:rsidRPr="00B57B6A">
        <w:rPr>
          <w:rFonts w:ascii="Times New Roman" w:hAnsi="Times New Roman" w:cs="Times New Roman"/>
          <w:sz w:val="24"/>
          <w:szCs w:val="24"/>
        </w:rPr>
        <w:t xml:space="preserve"> If the European Court can call on governments to expend whatever funds are necessary to improve conditions within institutions</w:t>
      </w:r>
      <w:r w:rsidR="00145E33">
        <w:rPr>
          <w:rFonts w:ascii="Times New Roman" w:hAnsi="Times New Roman" w:cs="Times New Roman"/>
          <w:sz w:val="24"/>
          <w:szCs w:val="24"/>
        </w:rPr>
        <w:t>,</w:t>
      </w:r>
      <w:r w:rsidRPr="00B57B6A">
        <w:rPr>
          <w:rFonts w:ascii="Times New Roman" w:hAnsi="Times New Roman" w:cs="Times New Roman"/>
          <w:sz w:val="24"/>
          <w:szCs w:val="24"/>
        </w:rPr>
        <w:t xml:space="preserve"> it should</w:t>
      </w:r>
      <w:r w:rsidR="00145E33">
        <w:rPr>
          <w:rFonts w:ascii="Times New Roman" w:hAnsi="Times New Roman" w:cs="Times New Roman"/>
          <w:sz w:val="24"/>
          <w:szCs w:val="24"/>
        </w:rPr>
        <w:t xml:space="preserve"> also</w:t>
      </w:r>
      <w:r w:rsidRPr="00B57B6A">
        <w:rPr>
          <w:rFonts w:ascii="Times New Roman" w:hAnsi="Times New Roman" w:cs="Times New Roman"/>
          <w:sz w:val="24"/>
          <w:szCs w:val="24"/>
        </w:rPr>
        <w:t xml:space="preserve"> be able to require governments to expend the same funds to provide community alternatives.</w:t>
      </w:r>
    </w:p>
    <w:p w14:paraId="1117A9AE" w14:textId="77777777" w:rsidR="00016E6A" w:rsidRDefault="00016E6A" w:rsidP="00016E6A">
      <w:pPr>
        <w:spacing w:after="0" w:line="240" w:lineRule="auto"/>
        <w:jc w:val="both"/>
        <w:rPr>
          <w:rFonts w:ascii="Times New Roman" w:hAnsi="Times New Roman" w:cs="Times New Roman"/>
          <w:sz w:val="24"/>
          <w:szCs w:val="24"/>
        </w:rPr>
      </w:pPr>
    </w:p>
    <w:p w14:paraId="60C6289F" w14:textId="19B6564D" w:rsidR="004412BB" w:rsidRDefault="004412BB" w:rsidP="00016E6A">
      <w:pPr>
        <w:spacing w:after="0"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injection of new resources into </w:t>
      </w:r>
      <w:r w:rsidR="00234F75" w:rsidRPr="00B57B6A">
        <w:rPr>
          <w:rFonts w:ascii="Times New Roman" w:hAnsi="Times New Roman" w:cs="Times New Roman"/>
          <w:sz w:val="24"/>
          <w:szCs w:val="24"/>
        </w:rPr>
        <w:t xml:space="preserve">community </w:t>
      </w:r>
      <w:r w:rsidRPr="00B57B6A">
        <w:rPr>
          <w:rFonts w:ascii="Times New Roman" w:hAnsi="Times New Roman" w:cs="Times New Roman"/>
          <w:sz w:val="24"/>
          <w:szCs w:val="24"/>
        </w:rPr>
        <w:t xml:space="preserve">service systems is especially important to help children who </w:t>
      </w:r>
      <w:r w:rsidR="006F10C5" w:rsidRPr="00B57B6A">
        <w:rPr>
          <w:rFonts w:ascii="Times New Roman" w:hAnsi="Times New Roman" w:cs="Times New Roman"/>
          <w:sz w:val="24"/>
          <w:szCs w:val="24"/>
        </w:rPr>
        <w:t xml:space="preserve">are </w:t>
      </w:r>
      <w:r w:rsidRPr="00B57B6A">
        <w:rPr>
          <w:rFonts w:ascii="Times New Roman" w:hAnsi="Times New Roman" w:cs="Times New Roman"/>
          <w:sz w:val="24"/>
          <w:szCs w:val="24"/>
        </w:rPr>
        <w:t xml:space="preserve">already placed in institutions, who have lost ties to families, and who have suffered the damaging effects of institutionalization. </w:t>
      </w:r>
      <w:r w:rsidR="006A64A8" w:rsidRPr="00B57B6A">
        <w:rPr>
          <w:rFonts w:ascii="Times New Roman" w:hAnsi="Times New Roman" w:cs="Times New Roman"/>
          <w:sz w:val="24"/>
          <w:szCs w:val="24"/>
        </w:rPr>
        <w:t>T</w:t>
      </w:r>
      <w:r w:rsidRPr="00B57B6A">
        <w:rPr>
          <w:rFonts w:ascii="Times New Roman" w:hAnsi="Times New Roman" w:cs="Times New Roman"/>
          <w:sz w:val="24"/>
          <w:szCs w:val="24"/>
        </w:rPr>
        <w:t>he prevention of improper placements in orphanages is not just a question of financial resources</w:t>
      </w:r>
      <w:r w:rsidR="00234F75" w:rsidRPr="00B57B6A">
        <w:rPr>
          <w:rFonts w:ascii="Times New Roman" w:hAnsi="Times New Roman" w:cs="Times New Roman"/>
          <w:sz w:val="24"/>
          <w:szCs w:val="24"/>
        </w:rPr>
        <w:t>, however</w:t>
      </w:r>
      <w:r w:rsidRPr="00B57B6A">
        <w:rPr>
          <w:rFonts w:ascii="Times New Roman" w:hAnsi="Times New Roman" w:cs="Times New Roman"/>
          <w:sz w:val="24"/>
          <w:szCs w:val="24"/>
        </w:rPr>
        <w:t xml:space="preserve">. There is evidence from around the world that </w:t>
      </w:r>
      <w:r w:rsidR="006F10C5" w:rsidRPr="00B57B6A">
        <w:rPr>
          <w:rFonts w:ascii="Times New Roman" w:hAnsi="Times New Roman" w:cs="Times New Roman"/>
          <w:sz w:val="24"/>
          <w:szCs w:val="24"/>
        </w:rPr>
        <w:t xml:space="preserve">providing the services and </w:t>
      </w:r>
      <w:r w:rsidRPr="00B57B6A">
        <w:rPr>
          <w:rFonts w:ascii="Times New Roman" w:hAnsi="Times New Roman" w:cs="Times New Roman"/>
          <w:sz w:val="24"/>
          <w:szCs w:val="24"/>
        </w:rPr>
        <w:t>protect</w:t>
      </w:r>
      <w:r w:rsidR="006F10C5" w:rsidRPr="00B57B6A">
        <w:rPr>
          <w:rFonts w:ascii="Times New Roman" w:hAnsi="Times New Roman" w:cs="Times New Roman"/>
          <w:sz w:val="24"/>
          <w:szCs w:val="24"/>
        </w:rPr>
        <w:t>ions for</w:t>
      </w:r>
      <w:r w:rsidRPr="00B57B6A">
        <w:rPr>
          <w:rFonts w:ascii="Times New Roman" w:hAnsi="Times New Roman" w:cs="Times New Roman"/>
          <w:sz w:val="24"/>
          <w:szCs w:val="24"/>
        </w:rPr>
        <w:t xml:space="preserve"> children to live in families is</w:t>
      </w:r>
      <w:r w:rsidR="00234F75" w:rsidRPr="00B57B6A">
        <w:rPr>
          <w:rFonts w:ascii="Times New Roman" w:hAnsi="Times New Roman" w:cs="Times New Roman"/>
          <w:sz w:val="24"/>
          <w:szCs w:val="24"/>
        </w:rPr>
        <w:t>, in the long-term,</w:t>
      </w:r>
      <w:r w:rsidRPr="00B57B6A">
        <w:rPr>
          <w:rFonts w:ascii="Times New Roman" w:hAnsi="Times New Roman" w:cs="Times New Roman"/>
          <w:sz w:val="24"/>
          <w:szCs w:val="24"/>
        </w:rPr>
        <w:t xml:space="preserve"> </w:t>
      </w:r>
      <w:r w:rsidR="00234F75" w:rsidRPr="00B57B6A">
        <w:rPr>
          <w:rFonts w:ascii="Times New Roman" w:hAnsi="Times New Roman" w:cs="Times New Roman"/>
          <w:sz w:val="24"/>
          <w:szCs w:val="24"/>
        </w:rPr>
        <w:t>l</w:t>
      </w:r>
      <w:r w:rsidRPr="00B57B6A">
        <w:rPr>
          <w:rFonts w:ascii="Times New Roman" w:hAnsi="Times New Roman" w:cs="Times New Roman"/>
          <w:sz w:val="24"/>
          <w:szCs w:val="24"/>
        </w:rPr>
        <w:t>ess expensive than paying for them to live in institutions.</w:t>
      </w:r>
      <w:bookmarkStart w:id="88" w:name="_Ref466639324"/>
      <w:r w:rsidRPr="00B57B6A">
        <w:rPr>
          <w:rStyle w:val="FootnoteReference"/>
          <w:rFonts w:ascii="Times New Roman" w:hAnsi="Times New Roman" w:cs="Times New Roman"/>
          <w:sz w:val="24"/>
          <w:szCs w:val="24"/>
        </w:rPr>
        <w:footnoteReference w:id="260"/>
      </w:r>
      <w:bookmarkEnd w:id="88"/>
      <w:r w:rsidRPr="00B57B6A">
        <w:rPr>
          <w:rFonts w:ascii="Times New Roman" w:hAnsi="Times New Roman" w:cs="Times New Roman"/>
          <w:sz w:val="24"/>
          <w:szCs w:val="24"/>
        </w:rPr>
        <w:t xml:space="preserve"> Since a large factor in institutional placement is poverty and homelessness, financial support to families can prevent orphanage placement. </w:t>
      </w:r>
      <w:r w:rsidR="00234F75" w:rsidRPr="00B57B6A">
        <w:rPr>
          <w:rFonts w:ascii="Times New Roman" w:hAnsi="Times New Roman" w:cs="Times New Roman"/>
          <w:sz w:val="24"/>
          <w:szCs w:val="24"/>
        </w:rPr>
        <w:t xml:space="preserve">This is an area where some immediate savings can be realized. </w:t>
      </w:r>
      <w:r w:rsidRPr="00B57B6A">
        <w:rPr>
          <w:rFonts w:ascii="Times New Roman" w:hAnsi="Times New Roman" w:cs="Times New Roman"/>
          <w:sz w:val="24"/>
          <w:szCs w:val="24"/>
        </w:rPr>
        <w:t xml:space="preserve">By protecting the child before ties with the family are broken and damage is caused by institutional placement, protecting families can avoid needless human suffering and increased financial costs </w:t>
      </w:r>
      <w:r w:rsidRPr="00B57B6A">
        <w:rPr>
          <w:rFonts w:ascii="Times New Roman" w:hAnsi="Times New Roman" w:cs="Times New Roman"/>
          <w:sz w:val="24"/>
          <w:szCs w:val="24"/>
        </w:rPr>
        <w:lastRenderedPageBreak/>
        <w:t xml:space="preserve">for society. Thus, a major factor in avoiding orphanage placement is a matter of </w:t>
      </w:r>
      <w:r w:rsidR="00234F75" w:rsidRPr="00B57B6A">
        <w:rPr>
          <w:rFonts w:ascii="Times New Roman" w:hAnsi="Times New Roman" w:cs="Times New Roman"/>
          <w:sz w:val="24"/>
          <w:szCs w:val="24"/>
        </w:rPr>
        <w:t xml:space="preserve">advance planning – and </w:t>
      </w:r>
      <w:r w:rsidR="004137FF">
        <w:rPr>
          <w:rFonts w:ascii="Times New Roman" w:hAnsi="Times New Roman" w:cs="Times New Roman"/>
          <w:sz w:val="24"/>
          <w:szCs w:val="24"/>
        </w:rPr>
        <w:t xml:space="preserve">of </w:t>
      </w:r>
      <w:r w:rsidRPr="00B57B6A">
        <w:rPr>
          <w:rFonts w:ascii="Times New Roman" w:hAnsi="Times New Roman" w:cs="Times New Roman"/>
          <w:sz w:val="24"/>
          <w:szCs w:val="24"/>
        </w:rPr>
        <w:t xml:space="preserve">political will. </w:t>
      </w:r>
    </w:p>
    <w:p w14:paraId="53D52E4F" w14:textId="77777777" w:rsidR="00016E6A" w:rsidRPr="00B57B6A" w:rsidRDefault="00016E6A" w:rsidP="00016E6A">
      <w:pPr>
        <w:spacing w:after="0" w:line="240" w:lineRule="auto"/>
        <w:jc w:val="both"/>
        <w:rPr>
          <w:rFonts w:ascii="Times New Roman" w:hAnsi="Times New Roman" w:cs="Times New Roman"/>
          <w:sz w:val="24"/>
          <w:szCs w:val="24"/>
        </w:rPr>
      </w:pPr>
    </w:p>
    <w:p w14:paraId="562D07E9" w14:textId="031987E4" w:rsidR="00FA480F" w:rsidRPr="00B57B6A" w:rsidRDefault="004412BB"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Beyond staking a claim on financial resources, the protection against torture can be a powerful motivating factor to bring about </w:t>
      </w:r>
      <w:r w:rsidR="00234F75" w:rsidRPr="00B57B6A">
        <w:rPr>
          <w:rFonts w:ascii="Times New Roman" w:hAnsi="Times New Roman" w:cs="Times New Roman"/>
          <w:sz w:val="24"/>
          <w:szCs w:val="24"/>
        </w:rPr>
        <w:t>public support</w:t>
      </w:r>
      <w:r w:rsidRPr="00B57B6A">
        <w:rPr>
          <w:rFonts w:ascii="Times New Roman" w:hAnsi="Times New Roman" w:cs="Times New Roman"/>
          <w:sz w:val="24"/>
          <w:szCs w:val="24"/>
        </w:rPr>
        <w:t xml:space="preserve"> for change</w:t>
      </w:r>
      <w:r w:rsidR="00FA480F" w:rsidRPr="00B57B6A">
        <w:rPr>
          <w:rFonts w:ascii="Times New Roman" w:hAnsi="Times New Roman" w:cs="Times New Roman"/>
          <w:sz w:val="24"/>
          <w:szCs w:val="24"/>
        </w:rPr>
        <w:t>. Failure to enforce these rights can leave a country open to</w:t>
      </w:r>
      <w:r w:rsidRPr="00B57B6A">
        <w:rPr>
          <w:rFonts w:ascii="Times New Roman" w:hAnsi="Times New Roman" w:cs="Times New Roman"/>
          <w:sz w:val="24"/>
          <w:szCs w:val="24"/>
        </w:rPr>
        <w:t xml:space="preserve"> the strongest national and international approbation.  </w:t>
      </w:r>
    </w:p>
    <w:p w14:paraId="2D114304" w14:textId="057EE6FC" w:rsidR="004412BB" w:rsidRPr="00B57B6A" w:rsidRDefault="004412BB"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In addition, the </w:t>
      </w:r>
      <w:r w:rsidR="00D2396B">
        <w:rPr>
          <w:rFonts w:ascii="Times New Roman" w:hAnsi="Times New Roman" w:cs="Times New Roman"/>
          <w:sz w:val="24"/>
          <w:szCs w:val="24"/>
        </w:rPr>
        <w:t>Torture S</w:t>
      </w:r>
      <w:r w:rsidR="00C30FA2">
        <w:rPr>
          <w:rFonts w:ascii="Times New Roman" w:hAnsi="Times New Roman" w:cs="Times New Roman"/>
          <w:sz w:val="24"/>
          <w:szCs w:val="24"/>
        </w:rPr>
        <w:t>tandard</w:t>
      </w:r>
      <w:r w:rsidRPr="00B57B6A">
        <w:rPr>
          <w:rFonts w:ascii="Times New Roman" w:hAnsi="Times New Roman" w:cs="Times New Roman"/>
          <w:sz w:val="24"/>
          <w:szCs w:val="24"/>
        </w:rPr>
        <w:t xml:space="preserve"> </w:t>
      </w:r>
      <w:r w:rsidR="00D2396B">
        <w:rPr>
          <w:rFonts w:ascii="Times New Roman" w:hAnsi="Times New Roman" w:cs="Times New Roman"/>
          <w:sz w:val="24"/>
          <w:szCs w:val="24"/>
        </w:rPr>
        <w:t xml:space="preserve">is associated with the </w:t>
      </w:r>
      <w:r w:rsidRPr="00B57B6A">
        <w:rPr>
          <w:rFonts w:ascii="Times New Roman" w:hAnsi="Times New Roman" w:cs="Times New Roman"/>
          <w:sz w:val="24"/>
          <w:szCs w:val="24"/>
        </w:rPr>
        <w:t>obligation to “prevent, prosecute, and redress” violations</w:t>
      </w:r>
      <w:r w:rsidR="00D2396B">
        <w:rPr>
          <w:rFonts w:ascii="Times New Roman" w:hAnsi="Times New Roman" w:cs="Times New Roman"/>
          <w:sz w:val="24"/>
          <w:szCs w:val="24"/>
        </w:rPr>
        <w:t xml:space="preserve"> of the right to protection against torture</w:t>
      </w:r>
      <w:r w:rsidRPr="00B57B6A">
        <w:rPr>
          <w:rFonts w:ascii="Times New Roman" w:hAnsi="Times New Roman" w:cs="Times New Roman"/>
          <w:sz w:val="24"/>
          <w:szCs w:val="24"/>
        </w:rPr>
        <w:t xml:space="preserve">. As </w:t>
      </w:r>
      <w:r w:rsidR="00012471" w:rsidRPr="00B57B6A">
        <w:rPr>
          <w:rFonts w:ascii="Times New Roman" w:hAnsi="Times New Roman" w:cs="Times New Roman"/>
          <w:sz w:val="24"/>
          <w:szCs w:val="24"/>
        </w:rPr>
        <w:t>Méndez</w:t>
      </w:r>
      <w:r w:rsidR="00012471" w:rsidRPr="00B57B6A" w:rsidDel="00012471">
        <w:rPr>
          <w:rFonts w:ascii="Times New Roman" w:hAnsi="Times New Roman" w:cs="Times New Roman"/>
          <w:sz w:val="24"/>
          <w:szCs w:val="24"/>
        </w:rPr>
        <w:t xml:space="preserve"> </w:t>
      </w:r>
      <w:r w:rsidRPr="00B57B6A">
        <w:rPr>
          <w:rFonts w:ascii="Times New Roman" w:hAnsi="Times New Roman" w:cs="Times New Roman"/>
          <w:sz w:val="24"/>
          <w:szCs w:val="24"/>
        </w:rPr>
        <w:t>explains:</w:t>
      </w:r>
    </w:p>
    <w:p w14:paraId="0A44AF79" w14:textId="3FC7929C" w:rsidR="004412BB" w:rsidRPr="00B57B6A" w:rsidRDefault="004412BB" w:rsidP="00B57B6A">
      <w:pPr>
        <w:spacing w:line="240" w:lineRule="auto"/>
        <w:ind w:left="720" w:right="720"/>
        <w:jc w:val="both"/>
        <w:rPr>
          <w:rFonts w:ascii="Times New Roman" w:hAnsi="Times New Roman" w:cs="Times New Roman"/>
          <w:sz w:val="24"/>
          <w:szCs w:val="24"/>
        </w:rPr>
      </w:pPr>
      <w:r w:rsidRPr="00B57B6A">
        <w:rPr>
          <w:rFonts w:ascii="Times New Roman" w:hAnsi="Times New Roman" w:cs="Times New Roman"/>
          <w:sz w:val="24"/>
          <w:szCs w:val="24"/>
        </w:rPr>
        <w:t>Examining abuses in health-care settings from a torture protection framework provides the opportunity to solidify understanding of these violations and to highlight the positive obligations that States have to prevent, prosecute, and redress such violations.</w:t>
      </w:r>
      <w:r w:rsidRPr="00B57B6A">
        <w:rPr>
          <w:rStyle w:val="FootnoteReference"/>
          <w:rFonts w:ascii="Times New Roman" w:hAnsi="Times New Roman" w:cs="Times New Roman"/>
          <w:sz w:val="24"/>
          <w:szCs w:val="24"/>
        </w:rPr>
        <w:footnoteReference w:id="261"/>
      </w:r>
      <w:r w:rsidR="00000337">
        <w:rPr>
          <w:rFonts w:ascii="Times New Roman" w:hAnsi="Times New Roman" w:cs="Times New Roman"/>
          <w:sz w:val="24"/>
          <w:szCs w:val="24"/>
        </w:rPr>
        <w:t xml:space="preserve"> </w:t>
      </w:r>
    </w:p>
    <w:p w14:paraId="075121B3" w14:textId="286B2033" w:rsidR="00086847" w:rsidRPr="00B57B6A" w:rsidRDefault="004412BB"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If an act constitutes torture, CAT requires governments to criminalize this behavior and prosecute individuals who perpetrate the act.</w:t>
      </w:r>
      <w:r w:rsidR="006A64A8" w:rsidRPr="00B57B6A">
        <w:rPr>
          <w:rStyle w:val="FootnoteReference"/>
          <w:rFonts w:ascii="Times New Roman" w:hAnsi="Times New Roman" w:cs="Times New Roman"/>
          <w:sz w:val="24"/>
          <w:szCs w:val="24"/>
        </w:rPr>
        <w:footnoteReference w:id="262"/>
      </w:r>
      <w:r w:rsidRPr="00B57B6A">
        <w:rPr>
          <w:rFonts w:ascii="Times New Roman" w:hAnsi="Times New Roman" w:cs="Times New Roman"/>
          <w:sz w:val="24"/>
          <w:szCs w:val="24"/>
        </w:rPr>
        <w:t xml:space="preserve"> </w:t>
      </w:r>
      <w:r w:rsidR="00086847" w:rsidRPr="00B57B6A">
        <w:rPr>
          <w:rFonts w:ascii="Times New Roman" w:hAnsi="Times New Roman" w:cs="Times New Roman"/>
          <w:sz w:val="24"/>
          <w:szCs w:val="24"/>
        </w:rPr>
        <w:t>Human rights law</w:t>
      </w:r>
      <w:r w:rsidR="00012471" w:rsidRPr="00B57B6A">
        <w:rPr>
          <w:rFonts w:ascii="Times New Roman" w:hAnsi="Times New Roman" w:cs="Times New Roman"/>
          <w:sz w:val="24"/>
          <w:szCs w:val="24"/>
        </w:rPr>
        <w:t>s</w:t>
      </w:r>
      <w:r w:rsidR="00086847" w:rsidRPr="00B57B6A">
        <w:rPr>
          <w:rFonts w:ascii="Times New Roman" w:hAnsi="Times New Roman" w:cs="Times New Roman"/>
          <w:sz w:val="24"/>
          <w:szCs w:val="24"/>
        </w:rPr>
        <w:t xml:space="preserve"> also require reparations to those individuals – which includes not only monetary compensation but</w:t>
      </w:r>
      <w:r w:rsidR="008324C2">
        <w:rPr>
          <w:rFonts w:ascii="Times New Roman" w:hAnsi="Times New Roman" w:cs="Times New Roman"/>
          <w:sz w:val="24"/>
          <w:szCs w:val="24"/>
        </w:rPr>
        <w:t xml:space="preserve"> also </w:t>
      </w:r>
      <w:r w:rsidR="00086847" w:rsidRPr="00B57B6A">
        <w:rPr>
          <w:rFonts w:ascii="Times New Roman" w:hAnsi="Times New Roman" w:cs="Times New Roman"/>
          <w:sz w:val="24"/>
          <w:szCs w:val="24"/>
        </w:rPr>
        <w:t>medical</w:t>
      </w:r>
      <w:r w:rsidR="008324C2">
        <w:rPr>
          <w:rFonts w:ascii="Times New Roman" w:hAnsi="Times New Roman" w:cs="Times New Roman"/>
          <w:sz w:val="24"/>
          <w:szCs w:val="24"/>
        </w:rPr>
        <w:t xml:space="preserve"> and</w:t>
      </w:r>
      <w:r w:rsidR="00086847" w:rsidRPr="00B57B6A">
        <w:rPr>
          <w:rFonts w:ascii="Times New Roman" w:hAnsi="Times New Roman" w:cs="Times New Roman"/>
          <w:sz w:val="24"/>
          <w:szCs w:val="24"/>
        </w:rPr>
        <w:t xml:space="preserve"> psychological care and other kinds of rehabilitation.</w:t>
      </w:r>
      <w:r w:rsidR="00086847" w:rsidRPr="00B57B6A">
        <w:rPr>
          <w:rStyle w:val="FootnoteReference"/>
          <w:rFonts w:ascii="Times New Roman" w:hAnsi="Times New Roman" w:cs="Times New Roman"/>
          <w:sz w:val="24"/>
          <w:szCs w:val="24"/>
        </w:rPr>
        <w:footnoteReference w:id="263"/>
      </w:r>
      <w:r w:rsidR="00086847" w:rsidRPr="00B57B6A">
        <w:rPr>
          <w:rFonts w:ascii="Times New Roman" w:hAnsi="Times New Roman" w:cs="Times New Roman"/>
          <w:sz w:val="24"/>
          <w:szCs w:val="24"/>
        </w:rPr>
        <w:t xml:space="preserve"> As described in Part I-B above, the recognition of improper detention or treatment as ill-treatment or torture creates opportunities for international enforcement.  </w:t>
      </w:r>
      <w:r w:rsidR="00FC4155">
        <w:rPr>
          <w:rFonts w:ascii="Times New Roman" w:hAnsi="Times New Roman" w:cs="Times New Roman"/>
          <w:sz w:val="24"/>
          <w:szCs w:val="24"/>
        </w:rPr>
        <w:t>Significantly, t</w:t>
      </w:r>
      <w:r w:rsidR="006F10C5" w:rsidRPr="00B57B6A">
        <w:rPr>
          <w:rFonts w:ascii="Times New Roman" w:hAnsi="Times New Roman" w:cs="Times New Roman"/>
          <w:sz w:val="24"/>
          <w:szCs w:val="24"/>
        </w:rPr>
        <w:t xml:space="preserve">he </w:t>
      </w:r>
      <w:r w:rsidR="007B6DAF">
        <w:rPr>
          <w:rFonts w:ascii="Times New Roman" w:hAnsi="Times New Roman" w:cs="Times New Roman"/>
          <w:sz w:val="24"/>
          <w:szCs w:val="24"/>
        </w:rPr>
        <w:t>offense of torture is subject to</w:t>
      </w:r>
      <w:r w:rsidR="00086847" w:rsidRPr="00B57B6A">
        <w:rPr>
          <w:rFonts w:ascii="Times New Roman" w:hAnsi="Times New Roman" w:cs="Times New Roman"/>
          <w:sz w:val="24"/>
          <w:szCs w:val="24"/>
        </w:rPr>
        <w:t xml:space="preserve"> universal jurisdiction</w:t>
      </w:r>
      <w:r w:rsidR="007B6DAF">
        <w:rPr>
          <w:rFonts w:ascii="Times New Roman" w:hAnsi="Times New Roman" w:cs="Times New Roman"/>
          <w:sz w:val="24"/>
          <w:szCs w:val="24"/>
        </w:rPr>
        <w:t xml:space="preserve"> under international law</w:t>
      </w:r>
      <w:r w:rsidR="00086847" w:rsidRPr="00B57B6A">
        <w:rPr>
          <w:rFonts w:ascii="Times New Roman" w:hAnsi="Times New Roman" w:cs="Times New Roman"/>
          <w:sz w:val="24"/>
          <w:szCs w:val="24"/>
        </w:rPr>
        <w:t>. The courts of any country can prosecute any individual in their country who has perpetrated ill-treatment or torture abroad.</w:t>
      </w:r>
    </w:p>
    <w:p w14:paraId="3B2AC6A9" w14:textId="1D9F26BB" w:rsidR="00086847" w:rsidRPr="00B57B6A" w:rsidRDefault="00086847"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In a case from Mexico being filed before the Inter-American Commission on Human Rights, DR</w:t>
      </w:r>
      <w:r w:rsidR="00584238">
        <w:rPr>
          <w:rFonts w:ascii="Times New Roman" w:hAnsi="Times New Roman" w:cs="Times New Roman"/>
          <w:sz w:val="24"/>
          <w:szCs w:val="24"/>
        </w:rPr>
        <w:t>I</w:t>
      </w:r>
      <w:r w:rsidRPr="00B57B6A">
        <w:rPr>
          <w:rFonts w:ascii="Times New Roman" w:hAnsi="Times New Roman" w:cs="Times New Roman"/>
          <w:sz w:val="24"/>
          <w:szCs w:val="24"/>
        </w:rPr>
        <w:t xml:space="preserve"> is now testing the theory that the right to reparations for ill-treatment in an institutions adds to the obligation to provide funding for the support necessary for a person to live in the community with adequate services. DRI’s case involves 37 survivors of the abusive </w:t>
      </w:r>
      <w:r w:rsidRPr="00B57B6A">
        <w:rPr>
          <w:rFonts w:ascii="Times New Roman" w:hAnsi="Times New Roman" w:cs="Times New Roman"/>
          <w:i/>
          <w:sz w:val="24"/>
          <w:szCs w:val="24"/>
        </w:rPr>
        <w:t>Casa Esperanza</w:t>
      </w:r>
      <w:r w:rsidRPr="00B57B6A">
        <w:rPr>
          <w:rFonts w:ascii="Times New Roman" w:hAnsi="Times New Roman" w:cs="Times New Roman"/>
          <w:sz w:val="24"/>
          <w:szCs w:val="24"/>
        </w:rPr>
        <w:t xml:space="preserve"> in Mexico City.</w:t>
      </w:r>
      <w:r w:rsidRPr="00B57B6A">
        <w:rPr>
          <w:rStyle w:val="FootnoteReference"/>
          <w:rFonts w:ascii="Times New Roman" w:hAnsi="Times New Roman" w:cs="Times New Roman"/>
          <w:sz w:val="24"/>
          <w:szCs w:val="24"/>
        </w:rPr>
        <w:footnoteReference w:id="264"/>
      </w:r>
      <w:r w:rsidRPr="00B57B6A">
        <w:rPr>
          <w:rFonts w:ascii="Times New Roman" w:hAnsi="Times New Roman" w:cs="Times New Roman"/>
          <w:sz w:val="24"/>
          <w:szCs w:val="24"/>
        </w:rPr>
        <w:t xml:space="preserve"> Most of these individuals were raised as children in Mexico’s orphanages</w:t>
      </w:r>
      <w:r w:rsidR="004E5189">
        <w:rPr>
          <w:rFonts w:ascii="Times New Roman" w:hAnsi="Times New Roman" w:cs="Times New Roman"/>
          <w:sz w:val="24"/>
          <w:szCs w:val="24"/>
        </w:rPr>
        <w:t xml:space="preserve"> and subsequently</w:t>
      </w:r>
      <w:r w:rsidRPr="00B57B6A">
        <w:rPr>
          <w:rFonts w:ascii="Times New Roman" w:hAnsi="Times New Roman" w:cs="Times New Roman"/>
          <w:sz w:val="24"/>
          <w:szCs w:val="24"/>
        </w:rPr>
        <w:t xml:space="preserve"> transferred to a facility where many were tied down, caged, physically abused, sterilized, raped, and trafficked for sex. After DRI exposed these abuses in 2015, Mexico City authorities simply moved these individuals, mostly young adults, to supposedly cleaner and safer institutions. Two of the thirty-seven have since died, and one woman has been repeatedly sexually abused over a one-year period.</w:t>
      </w:r>
      <w:r w:rsidRPr="00B57B6A">
        <w:rPr>
          <w:rStyle w:val="FootnoteReference"/>
          <w:rFonts w:ascii="Times New Roman" w:hAnsi="Times New Roman" w:cs="Times New Roman"/>
          <w:sz w:val="24"/>
          <w:szCs w:val="24"/>
        </w:rPr>
        <w:footnoteReference w:id="265"/>
      </w:r>
      <w:r w:rsidRPr="00B57B6A">
        <w:rPr>
          <w:rFonts w:ascii="Times New Roman" w:hAnsi="Times New Roman" w:cs="Times New Roman"/>
          <w:sz w:val="24"/>
          <w:szCs w:val="24"/>
        </w:rPr>
        <w:t xml:space="preserve"> The </w:t>
      </w:r>
      <w:r w:rsidRPr="00B57B6A">
        <w:rPr>
          <w:rFonts w:ascii="Times New Roman" w:hAnsi="Times New Roman" w:cs="Times New Roman"/>
          <w:i/>
          <w:sz w:val="24"/>
          <w:szCs w:val="24"/>
        </w:rPr>
        <w:t>Casa Esperanza</w:t>
      </w:r>
      <w:r w:rsidRPr="00B57B6A">
        <w:rPr>
          <w:rFonts w:ascii="Times New Roman" w:hAnsi="Times New Roman" w:cs="Times New Roman"/>
          <w:sz w:val="24"/>
          <w:szCs w:val="24"/>
        </w:rPr>
        <w:t xml:space="preserve"> case is a sad and vivid reminder of what may happen to children who are placed in institutions – supposedly for their own protection. It is also a reminder why immediate, individual remedies are needed – and why it may be dangerous for “progressive enforcement” to play itself out.</w:t>
      </w:r>
    </w:p>
    <w:p w14:paraId="17F89EF3" w14:textId="2CD7C686" w:rsidR="00FA480F" w:rsidRPr="00B57B6A" w:rsidRDefault="004412BB"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Governments may fall short of their human rights obligations and may take years to</w:t>
      </w:r>
      <w:r w:rsidR="009C2736">
        <w:rPr>
          <w:rFonts w:ascii="Times New Roman" w:hAnsi="Times New Roman" w:cs="Times New Roman"/>
          <w:sz w:val="24"/>
          <w:szCs w:val="24"/>
        </w:rPr>
        <w:t xml:space="preserve"> fully</w:t>
      </w:r>
      <w:r w:rsidRPr="00B57B6A">
        <w:rPr>
          <w:rFonts w:ascii="Times New Roman" w:hAnsi="Times New Roman" w:cs="Times New Roman"/>
          <w:sz w:val="24"/>
          <w:szCs w:val="24"/>
        </w:rPr>
        <w:t xml:space="preserve"> meet their</w:t>
      </w:r>
      <w:r w:rsidR="00C46586">
        <w:rPr>
          <w:rFonts w:ascii="Times New Roman" w:hAnsi="Times New Roman" w:cs="Times New Roman"/>
          <w:sz w:val="24"/>
          <w:szCs w:val="24"/>
        </w:rPr>
        <w:t xml:space="preserve"> </w:t>
      </w:r>
      <w:r w:rsidRPr="00B57B6A">
        <w:rPr>
          <w:rFonts w:ascii="Times New Roman" w:hAnsi="Times New Roman" w:cs="Times New Roman"/>
          <w:sz w:val="24"/>
          <w:szCs w:val="24"/>
        </w:rPr>
        <w:t xml:space="preserve">obligations under international law. But when charities or private service providers risk </w:t>
      </w:r>
      <w:r w:rsidRPr="00B57B6A">
        <w:rPr>
          <w:rFonts w:ascii="Times New Roman" w:hAnsi="Times New Roman" w:cs="Times New Roman"/>
          <w:sz w:val="24"/>
          <w:szCs w:val="24"/>
        </w:rPr>
        <w:lastRenderedPageBreak/>
        <w:t xml:space="preserve">criminal prosecution, they will have motivation to immediately reign in their activity. If governments were required by their own courts to remunerate victims of improper institutionalization for the damage caused by institutional placement, there would be powerful incentives </w:t>
      </w:r>
      <w:r w:rsidR="00062CAB">
        <w:rPr>
          <w:rFonts w:ascii="Times New Roman" w:hAnsi="Times New Roman" w:cs="Times New Roman"/>
          <w:sz w:val="24"/>
          <w:szCs w:val="24"/>
        </w:rPr>
        <w:t>for them</w:t>
      </w:r>
      <w:r w:rsidRPr="00B57B6A">
        <w:rPr>
          <w:rFonts w:ascii="Times New Roman" w:hAnsi="Times New Roman" w:cs="Times New Roman"/>
          <w:sz w:val="24"/>
          <w:szCs w:val="24"/>
        </w:rPr>
        <w:t xml:space="preserve"> to resolve these issues. And if governments were forced to pay a political price in the international arena for needlessly subjecting their children to ill-treatment or torture, the practice of placing children in institutions could be easily brought to an end.</w:t>
      </w:r>
      <w:r w:rsidR="00FA480F" w:rsidRPr="00B57B6A">
        <w:rPr>
          <w:rFonts w:ascii="Times New Roman" w:hAnsi="Times New Roman" w:cs="Times New Roman"/>
          <w:sz w:val="24"/>
          <w:szCs w:val="24"/>
        </w:rPr>
        <w:t xml:space="preserve"> </w:t>
      </w:r>
    </w:p>
    <w:p w14:paraId="15C7DF80" w14:textId="2A533C0A" w:rsidR="002D634F" w:rsidRPr="00B57B6A" w:rsidRDefault="002D634F"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In practice, it is not necessary to distinguish between different types of </w:t>
      </w:r>
      <w:bookmarkStart w:id="89" w:name="_Ref333153376"/>
      <w:r w:rsidRPr="00B57B6A">
        <w:rPr>
          <w:rFonts w:ascii="Times New Roman" w:hAnsi="Times New Roman" w:cs="Times New Roman"/>
          <w:sz w:val="24"/>
          <w:szCs w:val="24"/>
        </w:rPr>
        <w:t xml:space="preserve">rights, and the international human rights community is moving away from </w:t>
      </w:r>
      <w:r w:rsidR="004A0636">
        <w:rPr>
          <w:rFonts w:ascii="Times New Roman" w:hAnsi="Times New Roman" w:cs="Times New Roman"/>
          <w:sz w:val="24"/>
          <w:szCs w:val="24"/>
        </w:rPr>
        <w:t>such</w:t>
      </w:r>
      <w:r w:rsidR="004A0636" w:rsidRPr="00B57B6A">
        <w:rPr>
          <w:rFonts w:ascii="Times New Roman" w:hAnsi="Times New Roman" w:cs="Times New Roman"/>
          <w:sz w:val="24"/>
          <w:szCs w:val="24"/>
        </w:rPr>
        <w:t xml:space="preserve"> </w:t>
      </w:r>
      <w:r w:rsidRPr="00B57B6A">
        <w:rPr>
          <w:rFonts w:ascii="Times New Roman" w:hAnsi="Times New Roman" w:cs="Times New Roman"/>
          <w:sz w:val="24"/>
          <w:szCs w:val="24"/>
        </w:rPr>
        <w:t>distinctions.</w:t>
      </w:r>
      <w:r w:rsidRPr="00B57B6A">
        <w:rPr>
          <w:rFonts w:ascii="Times New Roman" w:hAnsi="Times New Roman" w:cs="Times New Roman"/>
          <w:sz w:val="24"/>
          <w:szCs w:val="24"/>
          <w:vertAlign w:val="superscript"/>
        </w:rPr>
        <w:footnoteReference w:id="266"/>
      </w:r>
      <w:bookmarkEnd w:id="89"/>
      <w:r w:rsidRPr="00B57B6A">
        <w:rPr>
          <w:rFonts w:ascii="Times New Roman" w:hAnsi="Times New Roman" w:cs="Times New Roman"/>
          <w:sz w:val="24"/>
          <w:szCs w:val="24"/>
        </w:rPr>
        <w:t xml:space="preserve">   In 1993, at the Vienna Conference on Human Rights, the international community recognized that all </w:t>
      </w:r>
      <w:r w:rsidR="00387CB9">
        <w:rPr>
          <w:rFonts w:ascii="Times New Roman" w:hAnsi="Times New Roman" w:cs="Times New Roman"/>
          <w:sz w:val="24"/>
          <w:szCs w:val="24"/>
        </w:rPr>
        <w:t xml:space="preserve">human </w:t>
      </w:r>
      <w:r w:rsidRPr="00B57B6A">
        <w:rPr>
          <w:rFonts w:ascii="Times New Roman" w:hAnsi="Times New Roman" w:cs="Times New Roman"/>
          <w:sz w:val="24"/>
          <w:szCs w:val="24"/>
        </w:rPr>
        <w:t>rights are “indivisible and inter-dependent.”</w:t>
      </w:r>
      <w:r w:rsidRPr="00B57B6A">
        <w:rPr>
          <w:rFonts w:ascii="Times New Roman" w:hAnsi="Times New Roman" w:cs="Times New Roman"/>
          <w:sz w:val="24"/>
          <w:szCs w:val="24"/>
          <w:vertAlign w:val="superscript"/>
        </w:rPr>
        <w:footnoteReference w:id="267"/>
      </w:r>
      <w:r w:rsidRPr="00B57B6A">
        <w:rPr>
          <w:rFonts w:ascii="Times New Roman" w:hAnsi="Times New Roman" w:cs="Times New Roman"/>
          <w:sz w:val="24"/>
          <w:szCs w:val="24"/>
        </w:rPr>
        <w:t xml:space="preserve"> The right</w:t>
      </w:r>
      <w:r w:rsidR="00AF512B" w:rsidRPr="00B57B6A">
        <w:rPr>
          <w:rFonts w:ascii="Times New Roman" w:hAnsi="Times New Roman" w:cs="Times New Roman"/>
          <w:sz w:val="24"/>
          <w:szCs w:val="24"/>
        </w:rPr>
        <w:t xml:space="preserve"> to community integration is</w:t>
      </w:r>
      <w:r w:rsidRPr="00B57B6A">
        <w:rPr>
          <w:rFonts w:ascii="Times New Roman" w:hAnsi="Times New Roman" w:cs="Times New Roman"/>
          <w:sz w:val="24"/>
          <w:szCs w:val="24"/>
        </w:rPr>
        <w:t xml:space="preserve"> a perfect example of a right that is interdependent</w:t>
      </w:r>
      <w:r w:rsidR="00675922">
        <w:rPr>
          <w:rFonts w:ascii="Times New Roman" w:hAnsi="Times New Roman" w:cs="Times New Roman"/>
          <w:sz w:val="24"/>
          <w:szCs w:val="24"/>
        </w:rPr>
        <w:t>:</w:t>
      </w:r>
      <w:r w:rsidRPr="00B57B6A">
        <w:rPr>
          <w:rFonts w:ascii="Times New Roman" w:hAnsi="Times New Roman" w:cs="Times New Roman"/>
          <w:sz w:val="24"/>
          <w:szCs w:val="24"/>
        </w:rPr>
        <w:t xml:space="preserve"> </w:t>
      </w:r>
      <w:r w:rsidR="00675922">
        <w:rPr>
          <w:rFonts w:ascii="Times New Roman" w:hAnsi="Times New Roman" w:cs="Times New Roman"/>
          <w:sz w:val="24"/>
          <w:szCs w:val="24"/>
        </w:rPr>
        <w:t xml:space="preserve">protection of the right to health is essential to prevent </w:t>
      </w:r>
      <w:r w:rsidR="000E5807">
        <w:rPr>
          <w:rFonts w:ascii="Times New Roman" w:hAnsi="Times New Roman" w:cs="Times New Roman"/>
          <w:sz w:val="24"/>
          <w:szCs w:val="24"/>
        </w:rPr>
        <w:t>arbitrary</w:t>
      </w:r>
      <w:r w:rsidR="00675922">
        <w:rPr>
          <w:rFonts w:ascii="Times New Roman" w:hAnsi="Times New Roman" w:cs="Times New Roman"/>
          <w:sz w:val="24"/>
          <w:szCs w:val="24"/>
        </w:rPr>
        <w:t xml:space="preserve"> detention, segregation from society, and the risk of torture.</w:t>
      </w:r>
      <w:r w:rsidRPr="00B57B6A">
        <w:rPr>
          <w:rFonts w:ascii="Times New Roman" w:hAnsi="Times New Roman" w:cs="Times New Roman"/>
          <w:sz w:val="24"/>
          <w:szCs w:val="24"/>
        </w:rPr>
        <w:t xml:space="preserve"> Without progressive enforcement through the creation of community services, people will be segregated from society and subject to discrimination. </w:t>
      </w:r>
      <w:r w:rsidR="00AF512B" w:rsidRPr="00B57B6A">
        <w:rPr>
          <w:rFonts w:ascii="Times New Roman" w:hAnsi="Times New Roman" w:cs="Times New Roman"/>
          <w:sz w:val="24"/>
          <w:szCs w:val="24"/>
        </w:rPr>
        <w:t>Av</w:t>
      </w:r>
      <w:r w:rsidRPr="00B57B6A">
        <w:rPr>
          <w:rFonts w:ascii="Times New Roman" w:hAnsi="Times New Roman" w:cs="Times New Roman"/>
          <w:sz w:val="24"/>
          <w:szCs w:val="24"/>
        </w:rPr>
        <w:t>oiding improper placement in institutions is also neces</w:t>
      </w:r>
      <w:r w:rsidR="00AF512B" w:rsidRPr="00B57B6A">
        <w:rPr>
          <w:rFonts w:ascii="Times New Roman" w:hAnsi="Times New Roman" w:cs="Times New Roman"/>
          <w:sz w:val="24"/>
          <w:szCs w:val="24"/>
        </w:rPr>
        <w:t>sary to protect against torture.</w:t>
      </w:r>
    </w:p>
    <w:p w14:paraId="67BBF9CA" w14:textId="5733C897" w:rsidR="00086847" w:rsidRPr="00B57B6A" w:rsidRDefault="005F7084" w:rsidP="00B57B6A">
      <w:pPr>
        <w:pStyle w:val="Heading2"/>
        <w:numPr>
          <w:ilvl w:val="0"/>
          <w:numId w:val="28"/>
        </w:numPr>
        <w:spacing w:line="240" w:lineRule="auto"/>
        <w:rPr>
          <w:rFonts w:ascii="Times New Roman" w:hAnsi="Times New Roman" w:cs="Times New Roman"/>
          <w:sz w:val="24"/>
          <w:szCs w:val="24"/>
        </w:rPr>
      </w:pPr>
      <w:bookmarkStart w:id="90" w:name="_Toc471468490"/>
      <w:r w:rsidRPr="00B57B6A">
        <w:rPr>
          <w:rFonts w:ascii="Times New Roman" w:hAnsi="Times New Roman" w:cs="Times New Roman"/>
          <w:sz w:val="24"/>
          <w:szCs w:val="24"/>
        </w:rPr>
        <w:t>Learning from earlier reform movements</w:t>
      </w:r>
      <w:bookmarkEnd w:id="90"/>
    </w:p>
    <w:p w14:paraId="14499B2F" w14:textId="0CB9B27A" w:rsidR="005E496D" w:rsidRPr="00B57B6A" w:rsidRDefault="005E496D" w:rsidP="00B57B6A">
      <w:pPr>
        <w:spacing w:line="240" w:lineRule="auto"/>
        <w:jc w:val="both"/>
        <w:rPr>
          <w:rFonts w:ascii="Times New Roman" w:hAnsi="Times New Roman" w:cs="Times New Roman"/>
          <w:b/>
          <w:sz w:val="24"/>
          <w:szCs w:val="24"/>
        </w:rPr>
      </w:pPr>
      <w:r w:rsidRPr="00B57B6A">
        <w:rPr>
          <w:rFonts w:ascii="Times New Roman" w:hAnsi="Times New Roman" w:cs="Times New Roman"/>
          <w:sz w:val="24"/>
          <w:szCs w:val="24"/>
        </w:rPr>
        <w:t xml:space="preserve">The use of the anti-torture framework to stop improper placement of children resembles, in some ways, the wave of deinstitutionalization of people with intellectual or psychosocial (mental health) disabilities that began in the United States in the 1960s and continued through the 1970s and </w:t>
      </w:r>
      <w:r w:rsidR="00C22D59">
        <w:rPr>
          <w:rFonts w:ascii="Times New Roman" w:hAnsi="Times New Roman" w:cs="Times New Roman"/>
          <w:sz w:val="24"/>
          <w:szCs w:val="24"/>
        </w:rPr>
        <w:t>19</w:t>
      </w:r>
      <w:r w:rsidRPr="00B57B6A">
        <w:rPr>
          <w:rFonts w:ascii="Times New Roman" w:hAnsi="Times New Roman" w:cs="Times New Roman"/>
          <w:sz w:val="24"/>
          <w:szCs w:val="24"/>
        </w:rPr>
        <w:t>80s – driven by the dangers and horror of the abuse witnessed by the public in institutions.</w:t>
      </w:r>
      <w:r w:rsidRPr="00B57B6A">
        <w:rPr>
          <w:rStyle w:val="FootnoteReference"/>
          <w:rFonts w:ascii="Times New Roman" w:hAnsi="Times New Roman" w:cs="Times New Roman"/>
          <w:sz w:val="24"/>
          <w:szCs w:val="24"/>
        </w:rPr>
        <w:footnoteReference w:id="268"/>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That approach to deinstitutionalization brought about </w:t>
      </w:r>
      <w:r w:rsidR="00886735" w:rsidRPr="00B57B6A">
        <w:rPr>
          <w:rFonts w:ascii="Times New Roman" w:hAnsi="Times New Roman" w:cs="Times New Roman"/>
          <w:sz w:val="24"/>
          <w:szCs w:val="24"/>
        </w:rPr>
        <w:t>profound change</w:t>
      </w:r>
      <w:r w:rsidR="004B5D55">
        <w:rPr>
          <w:rFonts w:ascii="Times New Roman" w:hAnsi="Times New Roman" w:cs="Times New Roman"/>
          <w:sz w:val="24"/>
          <w:szCs w:val="24"/>
        </w:rPr>
        <w:t>s in the United States</w:t>
      </w:r>
      <w:r w:rsidR="00886735" w:rsidRPr="00B57B6A">
        <w:rPr>
          <w:rFonts w:ascii="Times New Roman" w:hAnsi="Times New Roman" w:cs="Times New Roman"/>
          <w:sz w:val="24"/>
          <w:szCs w:val="24"/>
        </w:rPr>
        <w:t>.</w:t>
      </w:r>
      <w:r w:rsidR="0066171B" w:rsidRPr="00B57B6A">
        <w:rPr>
          <w:rFonts w:ascii="Times New Roman" w:hAnsi="Times New Roman" w:cs="Times New Roman"/>
          <w:sz w:val="24"/>
          <w:szCs w:val="24"/>
        </w:rPr>
        <w:t xml:space="preserve"> </w:t>
      </w:r>
      <w:r w:rsidR="00886735" w:rsidRPr="00B57B6A">
        <w:rPr>
          <w:rFonts w:ascii="Times New Roman" w:hAnsi="Times New Roman" w:cs="Times New Roman"/>
          <w:sz w:val="24"/>
          <w:szCs w:val="24"/>
        </w:rPr>
        <w:t>B</w:t>
      </w:r>
      <w:r w:rsidRPr="00B57B6A">
        <w:rPr>
          <w:rFonts w:ascii="Times New Roman" w:hAnsi="Times New Roman" w:cs="Times New Roman"/>
          <w:sz w:val="24"/>
          <w:szCs w:val="24"/>
        </w:rPr>
        <w:t>ut it has</w:t>
      </w:r>
      <w:r w:rsidR="002B2F7B">
        <w:rPr>
          <w:rFonts w:ascii="Times New Roman" w:hAnsi="Times New Roman" w:cs="Times New Roman"/>
          <w:sz w:val="24"/>
          <w:szCs w:val="24"/>
        </w:rPr>
        <w:t xml:space="preserve"> also</w:t>
      </w:r>
      <w:r w:rsidRPr="00B57B6A">
        <w:rPr>
          <w:rFonts w:ascii="Times New Roman" w:hAnsi="Times New Roman" w:cs="Times New Roman"/>
          <w:sz w:val="24"/>
          <w:szCs w:val="24"/>
        </w:rPr>
        <w:t xml:space="preserve"> been criticized because it closed the door </w:t>
      </w:r>
      <w:r w:rsidR="00AF512B" w:rsidRPr="00B57B6A">
        <w:rPr>
          <w:rFonts w:ascii="Times New Roman" w:hAnsi="Times New Roman" w:cs="Times New Roman"/>
          <w:sz w:val="24"/>
          <w:szCs w:val="24"/>
        </w:rPr>
        <w:t xml:space="preserve">to </w:t>
      </w:r>
      <w:r w:rsidRPr="00B57B6A">
        <w:rPr>
          <w:rFonts w:ascii="Times New Roman" w:hAnsi="Times New Roman" w:cs="Times New Roman"/>
          <w:sz w:val="24"/>
          <w:szCs w:val="24"/>
        </w:rPr>
        <w:t>new placements before creating the community services needed to ensure the safety of formerly institutionalized people.</w:t>
      </w:r>
      <w:r w:rsidR="00AB107C" w:rsidRPr="00B57B6A">
        <w:rPr>
          <w:rStyle w:val="FootnoteReference"/>
          <w:rFonts w:ascii="Times New Roman" w:hAnsi="Times New Roman" w:cs="Times New Roman"/>
          <w:sz w:val="24"/>
          <w:szCs w:val="24"/>
        </w:rPr>
        <w:footnoteReference w:id="269"/>
      </w:r>
    </w:p>
    <w:p w14:paraId="4F3ACD77" w14:textId="4222749D" w:rsidR="00883E89" w:rsidRPr="00B57B6A" w:rsidRDefault="005E496D"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United States made mistakes in failing to provide community care for people with disabilities, but there are many reasons to be assured that these </w:t>
      </w:r>
      <w:r w:rsidR="00AB4EBD">
        <w:rPr>
          <w:rFonts w:ascii="Times New Roman" w:hAnsi="Times New Roman" w:cs="Times New Roman"/>
          <w:sz w:val="24"/>
          <w:szCs w:val="24"/>
        </w:rPr>
        <w:t>shortcomings</w:t>
      </w:r>
      <w:r w:rsidR="00AB4EBD" w:rsidRPr="00B57B6A">
        <w:rPr>
          <w:rFonts w:ascii="Times New Roman" w:hAnsi="Times New Roman" w:cs="Times New Roman"/>
          <w:sz w:val="24"/>
          <w:szCs w:val="24"/>
        </w:rPr>
        <w:t xml:space="preserve"> </w:t>
      </w:r>
      <w:r w:rsidRPr="00B57B6A">
        <w:rPr>
          <w:rFonts w:ascii="Times New Roman" w:hAnsi="Times New Roman" w:cs="Times New Roman"/>
          <w:sz w:val="24"/>
          <w:szCs w:val="24"/>
        </w:rPr>
        <w:t>need not happen again. T</w:t>
      </w:r>
      <w:r w:rsidR="00AB107C" w:rsidRPr="00B57B6A">
        <w:rPr>
          <w:rFonts w:ascii="Times New Roman" w:hAnsi="Times New Roman" w:cs="Times New Roman"/>
          <w:sz w:val="24"/>
          <w:szCs w:val="24"/>
        </w:rPr>
        <w:t>he reform</w:t>
      </w:r>
      <w:r w:rsidRPr="00B57B6A">
        <w:rPr>
          <w:rFonts w:ascii="Times New Roman" w:hAnsi="Times New Roman" w:cs="Times New Roman"/>
          <w:sz w:val="24"/>
          <w:szCs w:val="24"/>
        </w:rPr>
        <w:t xml:space="preserve"> of the 1960s and ‘70s was not the first wave of deinstitutionalization in the United States.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Policies against the placement of children in orphanages in the United States can be dated back to the White House Conference of 1906.</w:t>
      </w:r>
      <w:r w:rsidR="00883E89" w:rsidRPr="00B57B6A">
        <w:rPr>
          <w:rStyle w:val="FootnoteReference"/>
          <w:rFonts w:ascii="Times New Roman" w:hAnsi="Times New Roman" w:cs="Times New Roman"/>
          <w:sz w:val="24"/>
          <w:szCs w:val="24"/>
        </w:rPr>
        <w:footnoteReference w:id="270"/>
      </w:r>
      <w:r w:rsidR="0066171B" w:rsidRPr="00B57B6A">
        <w:rPr>
          <w:rFonts w:ascii="Times New Roman" w:hAnsi="Times New Roman" w:cs="Times New Roman"/>
          <w:sz w:val="24"/>
          <w:szCs w:val="24"/>
        </w:rPr>
        <w:t xml:space="preserve"> </w:t>
      </w:r>
      <w:r w:rsidR="00AB107C" w:rsidRPr="00B57B6A">
        <w:rPr>
          <w:rFonts w:ascii="Times New Roman" w:hAnsi="Times New Roman" w:cs="Times New Roman"/>
          <w:sz w:val="24"/>
          <w:szCs w:val="24"/>
        </w:rPr>
        <w:t>The</w:t>
      </w:r>
      <w:r w:rsidR="00883E89" w:rsidRPr="00B57B6A">
        <w:rPr>
          <w:rFonts w:ascii="Times New Roman" w:hAnsi="Times New Roman" w:cs="Times New Roman"/>
          <w:sz w:val="24"/>
          <w:szCs w:val="24"/>
        </w:rPr>
        <w:t xml:space="preserve">se reforms </w:t>
      </w:r>
      <w:r w:rsidR="00AB107C" w:rsidRPr="00B57B6A">
        <w:rPr>
          <w:rFonts w:ascii="Times New Roman" w:hAnsi="Times New Roman" w:cs="Times New Roman"/>
          <w:sz w:val="24"/>
          <w:szCs w:val="24"/>
        </w:rPr>
        <w:t xml:space="preserve">have been so successful </w:t>
      </w:r>
      <w:r w:rsidR="00883E89" w:rsidRPr="00B57B6A">
        <w:rPr>
          <w:rFonts w:ascii="Times New Roman" w:hAnsi="Times New Roman" w:cs="Times New Roman"/>
          <w:sz w:val="24"/>
          <w:szCs w:val="24"/>
        </w:rPr>
        <w:t>that most people do not know about the enormous transformations that have</w:t>
      </w:r>
      <w:r w:rsidR="00776D49">
        <w:rPr>
          <w:rFonts w:ascii="Times New Roman" w:hAnsi="Times New Roman" w:cs="Times New Roman"/>
          <w:sz w:val="24"/>
          <w:szCs w:val="24"/>
        </w:rPr>
        <w:t xml:space="preserve"> since</w:t>
      </w:r>
      <w:r w:rsidR="00883E89" w:rsidRPr="00B57B6A">
        <w:rPr>
          <w:rFonts w:ascii="Times New Roman" w:hAnsi="Times New Roman" w:cs="Times New Roman"/>
          <w:sz w:val="24"/>
          <w:szCs w:val="24"/>
        </w:rPr>
        <w:t xml:space="preserve"> taken place</w:t>
      </w:r>
      <w:r w:rsidR="00AB107C" w:rsidRPr="00B57B6A">
        <w:rPr>
          <w:rFonts w:ascii="Times New Roman" w:hAnsi="Times New Roman" w:cs="Times New Roman"/>
          <w:sz w:val="24"/>
          <w:szCs w:val="24"/>
        </w:rPr>
        <w:t>.</w:t>
      </w:r>
      <w:r w:rsidRPr="00B57B6A">
        <w:rPr>
          <w:rFonts w:ascii="Times New Roman" w:hAnsi="Times New Roman" w:cs="Times New Roman"/>
          <w:sz w:val="24"/>
          <w:szCs w:val="24"/>
        </w:rPr>
        <w:t xml:space="preserve"> </w:t>
      </w:r>
      <w:r w:rsidR="00883E89"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The protection of children within their own families is so much less expensive than institutional </w:t>
      </w:r>
      <w:r w:rsidRPr="00B57B6A">
        <w:rPr>
          <w:rFonts w:ascii="Times New Roman" w:hAnsi="Times New Roman" w:cs="Times New Roman"/>
          <w:sz w:val="24"/>
          <w:szCs w:val="24"/>
        </w:rPr>
        <w:lastRenderedPageBreak/>
        <w:t>care and has such vastly improved outcomes in part because it avoids the damage and</w:t>
      </w:r>
      <w:r w:rsidR="00AF512B" w:rsidRPr="00B57B6A">
        <w:rPr>
          <w:rFonts w:ascii="Times New Roman" w:hAnsi="Times New Roman" w:cs="Times New Roman"/>
          <w:sz w:val="24"/>
          <w:szCs w:val="24"/>
        </w:rPr>
        <w:t xml:space="preserve"> the cost imposed on children in</w:t>
      </w:r>
      <w:r w:rsidRPr="00B57B6A">
        <w:rPr>
          <w:rFonts w:ascii="Times New Roman" w:hAnsi="Times New Roman" w:cs="Times New Roman"/>
          <w:sz w:val="24"/>
          <w:szCs w:val="24"/>
        </w:rPr>
        <w:t xml:space="preserve"> institutions.</w:t>
      </w:r>
      <w:r w:rsidR="00176D71" w:rsidRPr="00B57B6A">
        <w:rPr>
          <w:rStyle w:val="FootnoteReference"/>
          <w:rFonts w:ascii="Times New Roman" w:hAnsi="Times New Roman" w:cs="Times New Roman"/>
          <w:sz w:val="24"/>
          <w:szCs w:val="24"/>
        </w:rPr>
        <w:footnoteReference w:id="271"/>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 xml:space="preserve"> </w:t>
      </w:r>
    </w:p>
    <w:p w14:paraId="66D30B13" w14:textId="7113A9BB" w:rsidR="005E496D" w:rsidRPr="00B57B6A" w:rsidRDefault="005E496D" w:rsidP="00B57B6A">
      <w:pPr>
        <w:spacing w:line="240" w:lineRule="auto"/>
        <w:jc w:val="both"/>
        <w:rPr>
          <w:rFonts w:ascii="Times New Roman" w:hAnsi="Times New Roman" w:cs="Times New Roman"/>
          <w:b/>
          <w:sz w:val="24"/>
          <w:szCs w:val="24"/>
        </w:rPr>
      </w:pPr>
      <w:r w:rsidRPr="00B57B6A">
        <w:rPr>
          <w:rFonts w:ascii="Times New Roman" w:hAnsi="Times New Roman" w:cs="Times New Roman"/>
          <w:sz w:val="24"/>
          <w:szCs w:val="24"/>
        </w:rPr>
        <w:t>A moratorium on new placement</w:t>
      </w:r>
      <w:r w:rsidR="00776D49">
        <w:rPr>
          <w:rFonts w:ascii="Times New Roman" w:hAnsi="Times New Roman" w:cs="Times New Roman"/>
          <w:sz w:val="24"/>
          <w:szCs w:val="24"/>
        </w:rPr>
        <w:t>s</w:t>
      </w:r>
      <w:r w:rsidRPr="00B57B6A">
        <w:rPr>
          <w:rFonts w:ascii="Times New Roman" w:hAnsi="Times New Roman" w:cs="Times New Roman"/>
          <w:sz w:val="24"/>
          <w:szCs w:val="24"/>
        </w:rPr>
        <w:t xml:space="preserve"> of children </w:t>
      </w:r>
      <w:r w:rsidR="00776D49">
        <w:rPr>
          <w:rFonts w:ascii="Times New Roman" w:hAnsi="Times New Roman" w:cs="Times New Roman"/>
          <w:sz w:val="24"/>
          <w:szCs w:val="24"/>
        </w:rPr>
        <w:t xml:space="preserve">in institutions would </w:t>
      </w:r>
      <w:r w:rsidRPr="00B57B6A">
        <w:rPr>
          <w:rFonts w:ascii="Times New Roman" w:hAnsi="Times New Roman" w:cs="Times New Roman"/>
          <w:sz w:val="24"/>
          <w:szCs w:val="24"/>
        </w:rPr>
        <w:t>close the gateway to a lifetime of suffering and the vastly larger problem of segregating adults.</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A no-new-admissions policy is a strategy that has proven effective in bringing about reform and continues to be used in court-ordered right to community integra</w:t>
      </w:r>
      <w:r w:rsidR="00883E89" w:rsidRPr="00B57B6A">
        <w:rPr>
          <w:rFonts w:ascii="Times New Roman" w:hAnsi="Times New Roman" w:cs="Times New Roman"/>
          <w:sz w:val="24"/>
          <w:szCs w:val="24"/>
        </w:rPr>
        <w:t xml:space="preserve">tion </w:t>
      </w:r>
      <w:r w:rsidR="00013042" w:rsidRPr="00B57B6A">
        <w:rPr>
          <w:rFonts w:ascii="Times New Roman" w:hAnsi="Times New Roman" w:cs="Times New Roman"/>
          <w:i/>
          <w:sz w:val="24"/>
          <w:szCs w:val="24"/>
        </w:rPr>
        <w:t xml:space="preserve">Olmstead </w:t>
      </w:r>
      <w:r w:rsidR="00013042" w:rsidRPr="00B57B6A">
        <w:rPr>
          <w:rFonts w:ascii="Times New Roman" w:hAnsi="Times New Roman" w:cs="Times New Roman"/>
          <w:sz w:val="24"/>
          <w:szCs w:val="24"/>
        </w:rPr>
        <w:t>settlements</w:t>
      </w:r>
      <w:r w:rsidR="00883E89" w:rsidRPr="00B57B6A">
        <w:rPr>
          <w:rFonts w:ascii="Times New Roman" w:hAnsi="Times New Roman" w:cs="Times New Roman"/>
          <w:sz w:val="24"/>
          <w:szCs w:val="24"/>
        </w:rPr>
        <w:t xml:space="preserve"> in the United States.</w:t>
      </w:r>
      <w:r w:rsidR="00883E89" w:rsidRPr="00B57B6A">
        <w:rPr>
          <w:rStyle w:val="FootnoteReference"/>
          <w:rFonts w:ascii="Times New Roman" w:hAnsi="Times New Roman" w:cs="Times New Roman"/>
          <w:sz w:val="24"/>
          <w:szCs w:val="24"/>
        </w:rPr>
        <w:footnoteReference w:id="272"/>
      </w:r>
    </w:p>
    <w:p w14:paraId="7FAA8052" w14:textId="4B09D72E" w:rsidR="00F31046" w:rsidRPr="00B57B6A" w:rsidRDefault="00F31046" w:rsidP="00B57B6A">
      <w:pPr>
        <w:pStyle w:val="Heading1"/>
        <w:spacing w:line="240" w:lineRule="auto"/>
        <w:rPr>
          <w:rFonts w:ascii="Times New Roman" w:hAnsi="Times New Roman" w:cs="Times New Roman"/>
          <w:sz w:val="24"/>
          <w:szCs w:val="24"/>
        </w:rPr>
      </w:pPr>
      <w:bookmarkStart w:id="91" w:name="_Toc471468491"/>
      <w:r w:rsidRPr="00B57B6A">
        <w:rPr>
          <w:rFonts w:ascii="Times New Roman" w:hAnsi="Times New Roman" w:cs="Times New Roman"/>
          <w:sz w:val="24"/>
          <w:szCs w:val="24"/>
        </w:rPr>
        <w:t>Conclusion</w:t>
      </w:r>
      <w:bookmarkEnd w:id="91"/>
    </w:p>
    <w:p w14:paraId="78A328D6" w14:textId="21DB91AD" w:rsidR="005F7084" w:rsidRPr="00B57B6A" w:rsidRDefault="00D30682"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w:t>
      </w:r>
      <w:r w:rsidR="00F31046" w:rsidRPr="00B57B6A">
        <w:rPr>
          <w:rFonts w:ascii="Times New Roman" w:hAnsi="Times New Roman" w:cs="Times New Roman"/>
          <w:sz w:val="24"/>
          <w:szCs w:val="24"/>
        </w:rPr>
        <w:t>he Mé</w:t>
      </w:r>
      <w:r w:rsidR="005E496D" w:rsidRPr="00B57B6A">
        <w:rPr>
          <w:rFonts w:ascii="Times New Roman" w:hAnsi="Times New Roman" w:cs="Times New Roman"/>
          <w:sz w:val="24"/>
          <w:szCs w:val="24"/>
        </w:rPr>
        <w:t xml:space="preserve">ndez </w:t>
      </w:r>
      <w:r w:rsidR="00F31046" w:rsidRPr="00B57B6A">
        <w:rPr>
          <w:rFonts w:ascii="Times New Roman" w:hAnsi="Times New Roman" w:cs="Times New Roman"/>
          <w:sz w:val="24"/>
          <w:szCs w:val="24"/>
        </w:rPr>
        <w:t xml:space="preserve">Report </w:t>
      </w:r>
      <w:r w:rsidRPr="00B57B6A">
        <w:rPr>
          <w:rFonts w:ascii="Times New Roman" w:hAnsi="Times New Roman" w:cs="Times New Roman"/>
          <w:sz w:val="24"/>
          <w:szCs w:val="24"/>
        </w:rPr>
        <w:t xml:space="preserve">strengthens current international standards for the protection of children by requiring that any placement in an institution, even as a last resort, be limited to the shortest possible time in the least restrictive environment. </w:t>
      </w:r>
      <w:r w:rsidR="00AF512B" w:rsidRPr="00B57B6A">
        <w:rPr>
          <w:rFonts w:ascii="Times New Roman" w:hAnsi="Times New Roman" w:cs="Times New Roman"/>
          <w:sz w:val="24"/>
          <w:szCs w:val="24"/>
        </w:rPr>
        <w:t>More broadly, i</w:t>
      </w:r>
      <w:r w:rsidR="005F7084" w:rsidRPr="00B57B6A">
        <w:rPr>
          <w:rFonts w:ascii="Times New Roman" w:hAnsi="Times New Roman" w:cs="Times New Roman"/>
          <w:sz w:val="24"/>
          <w:szCs w:val="24"/>
        </w:rPr>
        <w:t>t establishes th</w:t>
      </w:r>
      <w:r w:rsidR="00AF512B" w:rsidRPr="00B57B6A">
        <w:rPr>
          <w:rFonts w:ascii="Times New Roman" w:hAnsi="Times New Roman" w:cs="Times New Roman"/>
          <w:sz w:val="24"/>
          <w:szCs w:val="24"/>
        </w:rPr>
        <w:t>at preventing placement in institutions or orphanages</w:t>
      </w:r>
      <w:r w:rsidR="005F7084" w:rsidRPr="00B57B6A">
        <w:rPr>
          <w:rFonts w:ascii="Times New Roman" w:hAnsi="Times New Roman" w:cs="Times New Roman"/>
          <w:sz w:val="24"/>
          <w:szCs w:val="24"/>
        </w:rPr>
        <w:t xml:space="preserve"> is essential to protect children against ill-treatment or torture.</w:t>
      </w:r>
    </w:p>
    <w:p w14:paraId="37EB8653" w14:textId="622A32BD" w:rsidR="0027476F" w:rsidRPr="00B57B6A" w:rsidRDefault="00D30682"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Since all children need to grow up with a family and models exist for integrating all children into the community, the Méndez standard </w:t>
      </w:r>
      <w:r w:rsidR="00F31046" w:rsidRPr="00B57B6A">
        <w:rPr>
          <w:rFonts w:ascii="Times New Roman" w:hAnsi="Times New Roman" w:cs="Times New Roman"/>
          <w:sz w:val="24"/>
          <w:szCs w:val="24"/>
        </w:rPr>
        <w:t xml:space="preserve">effectively </w:t>
      </w:r>
      <w:r w:rsidR="005E496D" w:rsidRPr="00B57B6A">
        <w:rPr>
          <w:rFonts w:ascii="Times New Roman" w:hAnsi="Times New Roman" w:cs="Times New Roman"/>
          <w:sz w:val="24"/>
          <w:szCs w:val="24"/>
        </w:rPr>
        <w:t>requires a ban on long-term placement of children in institutions.</w:t>
      </w:r>
      <w:r w:rsidR="0066171B" w:rsidRPr="00B57B6A">
        <w:rPr>
          <w:rFonts w:ascii="Times New Roman" w:hAnsi="Times New Roman" w:cs="Times New Roman"/>
          <w:sz w:val="24"/>
          <w:szCs w:val="24"/>
        </w:rPr>
        <w:t xml:space="preserve"> </w:t>
      </w:r>
      <w:r w:rsidR="001D6D20" w:rsidRPr="00B57B6A">
        <w:rPr>
          <w:rFonts w:ascii="Times New Roman" w:hAnsi="Times New Roman" w:cs="Times New Roman"/>
          <w:sz w:val="24"/>
          <w:szCs w:val="24"/>
        </w:rPr>
        <w:t>Given the</w:t>
      </w:r>
      <w:r w:rsidR="00844FE6" w:rsidRPr="00B57B6A">
        <w:rPr>
          <w:rFonts w:ascii="Times New Roman" w:hAnsi="Times New Roman" w:cs="Times New Roman"/>
          <w:sz w:val="24"/>
          <w:szCs w:val="24"/>
        </w:rPr>
        <w:t xml:space="preserve"> lessons learned about the inherent dangers of institutions, and the existence of models for avoiding such placements, </w:t>
      </w:r>
      <w:r w:rsidR="001D6D20" w:rsidRPr="00B57B6A">
        <w:rPr>
          <w:rFonts w:ascii="Times New Roman" w:hAnsi="Times New Roman" w:cs="Times New Roman"/>
          <w:sz w:val="24"/>
          <w:szCs w:val="24"/>
        </w:rPr>
        <w:t>placement of a child in an institution will never meet their</w:t>
      </w:r>
      <w:r w:rsidR="00844FE6" w:rsidRPr="00B57B6A">
        <w:rPr>
          <w:rFonts w:ascii="Times New Roman" w:hAnsi="Times New Roman" w:cs="Times New Roman"/>
          <w:sz w:val="24"/>
          <w:szCs w:val="24"/>
        </w:rPr>
        <w:t xml:space="preserve"> “best interest</w:t>
      </w:r>
      <w:r w:rsidR="001D6D20" w:rsidRPr="00B57B6A">
        <w:rPr>
          <w:rFonts w:ascii="Times New Roman" w:hAnsi="Times New Roman" w:cs="Times New Roman"/>
          <w:sz w:val="24"/>
          <w:szCs w:val="24"/>
        </w:rPr>
        <w:t>.</w:t>
      </w:r>
      <w:r w:rsidR="00844FE6" w:rsidRPr="00B57B6A">
        <w:rPr>
          <w:rFonts w:ascii="Times New Roman" w:hAnsi="Times New Roman" w:cs="Times New Roman"/>
          <w:sz w:val="24"/>
          <w:szCs w:val="24"/>
        </w:rPr>
        <w:t>”</w:t>
      </w:r>
      <w:r w:rsidR="0066171B" w:rsidRPr="00B57B6A">
        <w:rPr>
          <w:rFonts w:ascii="Times New Roman" w:hAnsi="Times New Roman" w:cs="Times New Roman"/>
          <w:sz w:val="24"/>
          <w:szCs w:val="24"/>
        </w:rPr>
        <w:t xml:space="preserve"> </w:t>
      </w:r>
      <w:r w:rsidR="001D6D20" w:rsidRPr="00B57B6A">
        <w:rPr>
          <w:rFonts w:ascii="Times New Roman" w:hAnsi="Times New Roman" w:cs="Times New Roman"/>
          <w:sz w:val="24"/>
          <w:szCs w:val="24"/>
        </w:rPr>
        <w:t xml:space="preserve">Any </w:t>
      </w:r>
      <w:r w:rsidR="005E496D" w:rsidRPr="00B57B6A">
        <w:rPr>
          <w:rFonts w:ascii="Times New Roman" w:hAnsi="Times New Roman" w:cs="Times New Roman"/>
          <w:sz w:val="24"/>
          <w:szCs w:val="24"/>
        </w:rPr>
        <w:t xml:space="preserve">situation requiring placement of the “last resort” stems from the </w:t>
      </w:r>
      <w:r w:rsidR="001D6D20" w:rsidRPr="00B57B6A">
        <w:rPr>
          <w:rFonts w:ascii="Times New Roman" w:hAnsi="Times New Roman" w:cs="Times New Roman"/>
          <w:sz w:val="24"/>
          <w:szCs w:val="24"/>
        </w:rPr>
        <w:t>failure of the service system to provide the family support and care that the child needs – and is necessary to protect against ill-treatment or torture.</w:t>
      </w:r>
      <w:r w:rsidRPr="00B57B6A">
        <w:rPr>
          <w:rFonts w:ascii="Times New Roman" w:hAnsi="Times New Roman" w:cs="Times New Roman"/>
          <w:sz w:val="24"/>
          <w:szCs w:val="24"/>
        </w:rPr>
        <w:t xml:space="preserve"> The creation of protections to ensure that children grow up with a family, and the </w:t>
      </w:r>
      <w:r w:rsidR="005E496D" w:rsidRPr="00B57B6A">
        <w:rPr>
          <w:rFonts w:ascii="Times New Roman" w:hAnsi="Times New Roman" w:cs="Times New Roman"/>
          <w:sz w:val="24"/>
          <w:szCs w:val="24"/>
        </w:rPr>
        <w:t>creat</w:t>
      </w:r>
      <w:r w:rsidRPr="00B57B6A">
        <w:rPr>
          <w:rFonts w:ascii="Times New Roman" w:hAnsi="Times New Roman" w:cs="Times New Roman"/>
          <w:sz w:val="24"/>
          <w:szCs w:val="24"/>
        </w:rPr>
        <w:t>ion of</w:t>
      </w:r>
      <w:r w:rsidR="005E496D" w:rsidRPr="00B57B6A">
        <w:rPr>
          <w:rFonts w:ascii="Times New Roman" w:hAnsi="Times New Roman" w:cs="Times New Roman"/>
          <w:sz w:val="24"/>
          <w:szCs w:val="24"/>
        </w:rPr>
        <w:t xml:space="preserve"> community </w:t>
      </w:r>
      <w:r w:rsidRPr="00B57B6A">
        <w:rPr>
          <w:rFonts w:ascii="Times New Roman" w:hAnsi="Times New Roman" w:cs="Times New Roman"/>
          <w:sz w:val="24"/>
          <w:szCs w:val="24"/>
        </w:rPr>
        <w:t>supports to make that possible,</w:t>
      </w:r>
      <w:r w:rsidR="005E496D" w:rsidRPr="00B57B6A">
        <w:rPr>
          <w:rFonts w:ascii="Times New Roman" w:hAnsi="Times New Roman" w:cs="Times New Roman"/>
          <w:sz w:val="24"/>
          <w:szCs w:val="24"/>
        </w:rPr>
        <w:t xml:space="preserve"> </w:t>
      </w:r>
      <w:r w:rsidR="00AF512B" w:rsidRPr="00B57B6A">
        <w:rPr>
          <w:rFonts w:ascii="Times New Roman" w:hAnsi="Times New Roman" w:cs="Times New Roman"/>
          <w:sz w:val="24"/>
          <w:szCs w:val="24"/>
        </w:rPr>
        <w:t>provide</w:t>
      </w:r>
      <w:r w:rsidRPr="00B57B6A">
        <w:rPr>
          <w:rFonts w:ascii="Times New Roman" w:hAnsi="Times New Roman" w:cs="Times New Roman"/>
          <w:sz w:val="24"/>
          <w:szCs w:val="24"/>
        </w:rPr>
        <w:t xml:space="preserve"> </w:t>
      </w:r>
      <w:r w:rsidR="005E496D" w:rsidRPr="00B57B6A">
        <w:rPr>
          <w:rFonts w:ascii="Times New Roman" w:hAnsi="Times New Roman" w:cs="Times New Roman"/>
          <w:sz w:val="24"/>
          <w:szCs w:val="24"/>
        </w:rPr>
        <w:t>essential safeguard</w:t>
      </w:r>
      <w:r w:rsidRPr="00B57B6A">
        <w:rPr>
          <w:rFonts w:ascii="Times New Roman" w:hAnsi="Times New Roman" w:cs="Times New Roman"/>
          <w:sz w:val="24"/>
          <w:szCs w:val="24"/>
        </w:rPr>
        <w:t>s</w:t>
      </w:r>
      <w:r w:rsidR="005E496D" w:rsidRPr="00B57B6A">
        <w:rPr>
          <w:rFonts w:ascii="Times New Roman" w:hAnsi="Times New Roman" w:cs="Times New Roman"/>
          <w:sz w:val="24"/>
          <w:szCs w:val="24"/>
        </w:rPr>
        <w:t xml:space="preserve"> against torture.</w:t>
      </w:r>
    </w:p>
    <w:p w14:paraId="7B47E237" w14:textId="1B83D91F" w:rsidR="00F94D93" w:rsidRPr="00B57B6A" w:rsidRDefault="00AF512B"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w:t>
      </w:r>
      <w:r w:rsidR="00ED46EF">
        <w:rPr>
          <w:rFonts w:ascii="Times New Roman" w:hAnsi="Times New Roman" w:cs="Times New Roman"/>
          <w:sz w:val="24"/>
          <w:szCs w:val="24"/>
        </w:rPr>
        <w:t>Torture S</w:t>
      </w:r>
      <w:r w:rsidR="005F3852">
        <w:rPr>
          <w:rFonts w:ascii="Times New Roman" w:hAnsi="Times New Roman" w:cs="Times New Roman"/>
          <w:sz w:val="24"/>
          <w:szCs w:val="24"/>
        </w:rPr>
        <w:t>tandard</w:t>
      </w:r>
      <w:r w:rsidRPr="00B57B6A">
        <w:rPr>
          <w:rFonts w:ascii="Times New Roman" w:hAnsi="Times New Roman" w:cs="Times New Roman"/>
          <w:sz w:val="24"/>
          <w:szCs w:val="24"/>
        </w:rPr>
        <w:t xml:space="preserve">, </w:t>
      </w:r>
      <w:r w:rsidR="005F7084" w:rsidRPr="00B57B6A">
        <w:rPr>
          <w:rFonts w:ascii="Times New Roman" w:hAnsi="Times New Roman" w:cs="Times New Roman"/>
          <w:sz w:val="24"/>
          <w:szCs w:val="24"/>
        </w:rPr>
        <w:t>recommended</w:t>
      </w:r>
      <w:r w:rsidR="0027476F" w:rsidRPr="00B57B6A">
        <w:rPr>
          <w:rFonts w:ascii="Times New Roman" w:hAnsi="Times New Roman" w:cs="Times New Roman"/>
          <w:sz w:val="24"/>
          <w:szCs w:val="24"/>
        </w:rPr>
        <w:t xml:space="preserve"> by </w:t>
      </w:r>
      <w:r w:rsidR="00F31046" w:rsidRPr="00B57B6A">
        <w:rPr>
          <w:rFonts w:ascii="Times New Roman" w:hAnsi="Times New Roman" w:cs="Times New Roman"/>
          <w:sz w:val="24"/>
          <w:szCs w:val="24"/>
        </w:rPr>
        <w:t xml:space="preserve">the </w:t>
      </w:r>
      <w:r w:rsidR="0027476F" w:rsidRPr="00B57B6A">
        <w:rPr>
          <w:rFonts w:ascii="Times New Roman" w:hAnsi="Times New Roman" w:cs="Times New Roman"/>
          <w:sz w:val="24"/>
          <w:szCs w:val="24"/>
        </w:rPr>
        <w:t>M</w:t>
      </w:r>
      <w:r w:rsidR="00F31046" w:rsidRPr="00B57B6A">
        <w:rPr>
          <w:rFonts w:ascii="Times New Roman" w:hAnsi="Times New Roman" w:cs="Times New Roman"/>
          <w:sz w:val="24"/>
          <w:szCs w:val="24"/>
        </w:rPr>
        <w:t>é</w:t>
      </w:r>
      <w:r w:rsidR="0027476F" w:rsidRPr="00B57B6A">
        <w:rPr>
          <w:rFonts w:ascii="Times New Roman" w:hAnsi="Times New Roman" w:cs="Times New Roman"/>
          <w:sz w:val="24"/>
          <w:szCs w:val="24"/>
        </w:rPr>
        <w:t>ndez</w:t>
      </w:r>
      <w:r w:rsidR="00F31046" w:rsidRPr="00B57B6A">
        <w:rPr>
          <w:rFonts w:ascii="Times New Roman" w:hAnsi="Times New Roman" w:cs="Times New Roman"/>
          <w:sz w:val="24"/>
          <w:szCs w:val="24"/>
        </w:rPr>
        <w:t xml:space="preserve"> Report</w:t>
      </w:r>
      <w:r w:rsidRPr="00B57B6A">
        <w:rPr>
          <w:rFonts w:ascii="Times New Roman" w:hAnsi="Times New Roman" w:cs="Times New Roman"/>
          <w:sz w:val="24"/>
          <w:szCs w:val="24"/>
        </w:rPr>
        <w:t>, should</w:t>
      </w:r>
      <w:r w:rsidR="0027476F" w:rsidRPr="00B57B6A">
        <w:rPr>
          <w:rFonts w:ascii="Times New Roman" w:hAnsi="Times New Roman" w:cs="Times New Roman"/>
          <w:sz w:val="24"/>
          <w:szCs w:val="24"/>
        </w:rPr>
        <w:t xml:space="preserve"> temper the </w:t>
      </w:r>
      <w:r w:rsidRPr="00B57B6A">
        <w:rPr>
          <w:rFonts w:ascii="Times New Roman" w:hAnsi="Times New Roman" w:cs="Times New Roman"/>
          <w:sz w:val="24"/>
          <w:szCs w:val="24"/>
        </w:rPr>
        <w:t xml:space="preserve">legitimate </w:t>
      </w:r>
      <w:r w:rsidR="0027476F" w:rsidRPr="00B57B6A">
        <w:rPr>
          <w:rFonts w:ascii="Times New Roman" w:hAnsi="Times New Roman" w:cs="Times New Roman"/>
          <w:sz w:val="24"/>
          <w:szCs w:val="24"/>
        </w:rPr>
        <w:t xml:space="preserve">concerns of those who </w:t>
      </w:r>
      <w:r w:rsidRPr="00B57B6A">
        <w:rPr>
          <w:rFonts w:ascii="Times New Roman" w:hAnsi="Times New Roman" w:cs="Times New Roman"/>
          <w:sz w:val="24"/>
          <w:szCs w:val="24"/>
        </w:rPr>
        <w:t>fear that</w:t>
      </w:r>
      <w:r w:rsidR="0027476F" w:rsidRPr="00B57B6A">
        <w:rPr>
          <w:rFonts w:ascii="Times New Roman" w:hAnsi="Times New Roman" w:cs="Times New Roman"/>
          <w:sz w:val="24"/>
          <w:szCs w:val="24"/>
        </w:rPr>
        <w:t xml:space="preserve"> children will end up on the streets</w:t>
      </w:r>
      <w:r w:rsidRPr="00B57B6A">
        <w:rPr>
          <w:rFonts w:ascii="Times New Roman" w:hAnsi="Times New Roman" w:cs="Times New Roman"/>
          <w:sz w:val="24"/>
          <w:szCs w:val="24"/>
        </w:rPr>
        <w:t xml:space="preserve">. </w:t>
      </w:r>
      <w:r w:rsidR="0027476F" w:rsidRPr="00B57B6A">
        <w:rPr>
          <w:rFonts w:ascii="Times New Roman" w:hAnsi="Times New Roman" w:cs="Times New Roman"/>
          <w:sz w:val="24"/>
          <w:szCs w:val="24"/>
        </w:rPr>
        <w:t xml:space="preserve"> </w:t>
      </w:r>
      <w:r w:rsidR="00CA4C4C" w:rsidRPr="00B57B6A">
        <w:rPr>
          <w:rFonts w:ascii="Times New Roman" w:hAnsi="Times New Roman" w:cs="Times New Roman"/>
          <w:sz w:val="24"/>
          <w:szCs w:val="24"/>
        </w:rPr>
        <w:t>I</w:t>
      </w:r>
      <w:r w:rsidR="005A5256" w:rsidRPr="00B57B6A">
        <w:rPr>
          <w:rFonts w:ascii="Times New Roman" w:hAnsi="Times New Roman" w:cs="Times New Roman"/>
          <w:sz w:val="24"/>
          <w:szCs w:val="24"/>
        </w:rPr>
        <w:t xml:space="preserve">n a crisis, </w:t>
      </w:r>
      <w:r w:rsidR="001D6D20" w:rsidRPr="00B57B6A">
        <w:rPr>
          <w:rFonts w:ascii="Times New Roman" w:hAnsi="Times New Roman" w:cs="Times New Roman"/>
          <w:sz w:val="24"/>
          <w:szCs w:val="24"/>
        </w:rPr>
        <w:t>where i</w:t>
      </w:r>
      <w:r w:rsidR="005F7084" w:rsidRPr="00B57B6A">
        <w:rPr>
          <w:rFonts w:ascii="Times New Roman" w:hAnsi="Times New Roman" w:cs="Times New Roman"/>
          <w:sz w:val="24"/>
          <w:szCs w:val="24"/>
        </w:rPr>
        <w:t>mminent danger is created by the lack of</w:t>
      </w:r>
      <w:r w:rsidR="001D6D20" w:rsidRPr="00B57B6A">
        <w:rPr>
          <w:rFonts w:ascii="Times New Roman" w:hAnsi="Times New Roman" w:cs="Times New Roman"/>
          <w:sz w:val="24"/>
          <w:szCs w:val="24"/>
        </w:rPr>
        <w:t xml:space="preserve"> other options, placement may be used as a “last resort</w:t>
      </w:r>
      <w:r w:rsidR="0027476F" w:rsidRPr="00B57B6A">
        <w:rPr>
          <w:rFonts w:ascii="Times New Roman" w:hAnsi="Times New Roman" w:cs="Times New Roman"/>
          <w:sz w:val="24"/>
          <w:szCs w:val="24"/>
        </w:rPr>
        <w:t>.</w:t>
      </w:r>
      <w:r w:rsidR="001D6D20" w:rsidRPr="00B57B6A">
        <w:rPr>
          <w:rFonts w:ascii="Times New Roman" w:hAnsi="Times New Roman" w:cs="Times New Roman"/>
          <w:sz w:val="24"/>
          <w:szCs w:val="24"/>
        </w:rPr>
        <w:t>”</w:t>
      </w:r>
      <w:r w:rsidR="0066171B" w:rsidRPr="00B57B6A">
        <w:rPr>
          <w:rFonts w:ascii="Times New Roman" w:hAnsi="Times New Roman" w:cs="Times New Roman"/>
          <w:sz w:val="24"/>
          <w:szCs w:val="24"/>
        </w:rPr>
        <w:t xml:space="preserve"> </w:t>
      </w:r>
      <w:r w:rsidR="0027476F" w:rsidRPr="00B57B6A">
        <w:rPr>
          <w:rFonts w:ascii="Times New Roman" w:hAnsi="Times New Roman" w:cs="Times New Roman"/>
          <w:sz w:val="24"/>
          <w:szCs w:val="24"/>
        </w:rPr>
        <w:t xml:space="preserve">But </w:t>
      </w:r>
      <w:r w:rsidR="004E5999" w:rsidRPr="00B57B6A">
        <w:rPr>
          <w:rFonts w:ascii="Times New Roman" w:hAnsi="Times New Roman" w:cs="Times New Roman"/>
          <w:sz w:val="24"/>
          <w:szCs w:val="24"/>
        </w:rPr>
        <w:t xml:space="preserve">even then, </w:t>
      </w:r>
      <w:r w:rsidR="00D30682" w:rsidRPr="00B57B6A">
        <w:rPr>
          <w:rFonts w:ascii="Times New Roman" w:hAnsi="Times New Roman" w:cs="Times New Roman"/>
          <w:sz w:val="24"/>
          <w:szCs w:val="24"/>
        </w:rPr>
        <w:t xml:space="preserve">service </w:t>
      </w:r>
      <w:r w:rsidR="00D76DF4" w:rsidRPr="00B57B6A">
        <w:rPr>
          <w:rFonts w:ascii="Times New Roman" w:hAnsi="Times New Roman" w:cs="Times New Roman"/>
          <w:sz w:val="24"/>
          <w:szCs w:val="24"/>
        </w:rPr>
        <w:t>systems should be structured to provide emergency foster care so that no form of residential care is needed.</w:t>
      </w:r>
      <w:r w:rsidR="00F94D93" w:rsidRPr="00B57B6A">
        <w:rPr>
          <w:rFonts w:ascii="Times New Roman" w:hAnsi="Times New Roman" w:cs="Times New Roman"/>
          <w:sz w:val="24"/>
          <w:szCs w:val="24"/>
        </w:rPr>
        <w:t xml:space="preserve"> At that point, </w:t>
      </w:r>
      <w:r w:rsidR="004E5999" w:rsidRPr="00B57B6A">
        <w:rPr>
          <w:rFonts w:ascii="Times New Roman" w:hAnsi="Times New Roman" w:cs="Times New Roman"/>
          <w:sz w:val="24"/>
          <w:szCs w:val="24"/>
        </w:rPr>
        <w:t xml:space="preserve">experience shows, </w:t>
      </w:r>
      <w:r w:rsidR="00F94D93" w:rsidRPr="00B57B6A">
        <w:rPr>
          <w:rFonts w:ascii="Times New Roman" w:hAnsi="Times New Roman" w:cs="Times New Roman"/>
          <w:sz w:val="24"/>
          <w:szCs w:val="24"/>
        </w:rPr>
        <w:t>the “shortest possible” placeme</w:t>
      </w:r>
      <w:r w:rsidR="004E5999" w:rsidRPr="00B57B6A">
        <w:rPr>
          <w:rFonts w:ascii="Times New Roman" w:hAnsi="Times New Roman" w:cs="Times New Roman"/>
          <w:sz w:val="24"/>
          <w:szCs w:val="24"/>
        </w:rPr>
        <w:t>nt can be</w:t>
      </w:r>
      <w:r w:rsidR="00F94D93" w:rsidRPr="00B57B6A">
        <w:rPr>
          <w:rFonts w:ascii="Times New Roman" w:hAnsi="Times New Roman" w:cs="Times New Roman"/>
          <w:sz w:val="24"/>
          <w:szCs w:val="24"/>
        </w:rPr>
        <w:t xml:space="preserve"> effectively reduced to zero.</w:t>
      </w:r>
      <w:r w:rsidR="00CA4C4C" w:rsidRPr="00B57B6A">
        <w:rPr>
          <w:rFonts w:ascii="Times New Roman" w:hAnsi="Times New Roman" w:cs="Times New Roman"/>
          <w:sz w:val="24"/>
          <w:szCs w:val="24"/>
        </w:rPr>
        <w:t xml:space="preserve"> </w:t>
      </w:r>
      <w:r w:rsidR="00F94D93" w:rsidRPr="00B57B6A">
        <w:rPr>
          <w:rFonts w:ascii="Times New Roman" w:hAnsi="Times New Roman" w:cs="Times New Roman"/>
          <w:sz w:val="24"/>
          <w:szCs w:val="24"/>
        </w:rPr>
        <w:t xml:space="preserve">As soon as family supports and emergency foster care can be established, </w:t>
      </w:r>
      <w:r w:rsidR="004E5999" w:rsidRPr="00B57B6A">
        <w:rPr>
          <w:rFonts w:ascii="Times New Roman" w:hAnsi="Times New Roman" w:cs="Times New Roman"/>
          <w:sz w:val="24"/>
          <w:szCs w:val="24"/>
        </w:rPr>
        <w:t xml:space="preserve">therefore, </w:t>
      </w:r>
      <w:r w:rsidR="00F94D93" w:rsidRPr="00B57B6A">
        <w:rPr>
          <w:rFonts w:ascii="Times New Roman" w:hAnsi="Times New Roman" w:cs="Times New Roman"/>
          <w:sz w:val="24"/>
          <w:szCs w:val="24"/>
        </w:rPr>
        <w:t>governments are mandated to bring an end to new placements in institutions.</w:t>
      </w:r>
    </w:p>
    <w:p w14:paraId="1721645E" w14:textId="1DFAFA3B" w:rsidR="00D30682" w:rsidRPr="00B57B6A" w:rsidRDefault="00CA4C4C"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The recommendations of the Ménde</w:t>
      </w:r>
      <w:r w:rsidR="004E5999" w:rsidRPr="00B57B6A">
        <w:rPr>
          <w:rFonts w:ascii="Times New Roman" w:hAnsi="Times New Roman" w:cs="Times New Roman"/>
          <w:sz w:val="24"/>
          <w:szCs w:val="24"/>
        </w:rPr>
        <w:t>z Report support and strengthen the</w:t>
      </w:r>
      <w:r w:rsidRPr="00B57B6A">
        <w:rPr>
          <w:rFonts w:ascii="Times New Roman" w:hAnsi="Times New Roman" w:cs="Times New Roman"/>
          <w:sz w:val="24"/>
          <w:szCs w:val="24"/>
        </w:rPr>
        <w:t xml:space="preserve"> requirements of the CRPD. </w:t>
      </w:r>
      <w:r w:rsidR="004E5999" w:rsidRPr="00B57B6A">
        <w:rPr>
          <w:rFonts w:ascii="Times New Roman" w:hAnsi="Times New Roman" w:cs="Times New Roman"/>
          <w:sz w:val="24"/>
          <w:szCs w:val="24"/>
        </w:rPr>
        <w:t>The CRPD protects the right</w:t>
      </w:r>
      <w:r w:rsidR="0098305C" w:rsidRPr="00B57B6A">
        <w:rPr>
          <w:rFonts w:ascii="Times New Roman" w:hAnsi="Times New Roman" w:cs="Times New Roman"/>
          <w:sz w:val="24"/>
          <w:szCs w:val="24"/>
        </w:rPr>
        <w:t xml:space="preserve"> of children to grow up with a family under Article 23</w:t>
      </w:r>
      <w:r w:rsidR="004E5999" w:rsidRPr="00B57B6A">
        <w:rPr>
          <w:rFonts w:ascii="Times New Roman" w:hAnsi="Times New Roman" w:cs="Times New Roman"/>
          <w:sz w:val="24"/>
          <w:szCs w:val="24"/>
        </w:rPr>
        <w:t xml:space="preserve"> and to live as part of the community </w:t>
      </w:r>
      <w:r w:rsidR="0098305C" w:rsidRPr="00B57B6A">
        <w:rPr>
          <w:rFonts w:ascii="Times New Roman" w:hAnsi="Times New Roman" w:cs="Times New Roman"/>
          <w:sz w:val="24"/>
          <w:szCs w:val="24"/>
        </w:rPr>
        <w:t>under Article</w:t>
      </w:r>
      <w:r w:rsidR="004E5999" w:rsidRPr="00B57B6A">
        <w:rPr>
          <w:rFonts w:ascii="Times New Roman" w:hAnsi="Times New Roman" w:cs="Times New Roman"/>
          <w:sz w:val="24"/>
          <w:szCs w:val="24"/>
        </w:rPr>
        <w:t xml:space="preserve"> 19</w:t>
      </w:r>
      <w:r w:rsidR="0098305C" w:rsidRPr="00B57B6A">
        <w:rPr>
          <w:rFonts w:ascii="Times New Roman" w:hAnsi="Times New Roman" w:cs="Times New Roman"/>
          <w:sz w:val="24"/>
          <w:szCs w:val="24"/>
        </w:rPr>
        <w:t>.</w:t>
      </w:r>
      <w:r w:rsidR="004E5999" w:rsidRPr="00B57B6A">
        <w:rPr>
          <w:rFonts w:ascii="Times New Roman" w:hAnsi="Times New Roman" w:cs="Times New Roman"/>
          <w:sz w:val="24"/>
          <w:szCs w:val="24"/>
        </w:rPr>
        <w:t xml:space="preserve"> The Méndez Report demonstrates that failure to enforce CRPD Articles 19 and 23 subjects children to the risk of ill-treatment or torture.</w:t>
      </w:r>
      <w:r w:rsidR="0098305C" w:rsidRPr="00B57B6A">
        <w:rPr>
          <w:rFonts w:ascii="Times New Roman" w:hAnsi="Times New Roman" w:cs="Times New Roman"/>
          <w:sz w:val="24"/>
          <w:szCs w:val="24"/>
        </w:rPr>
        <w:t xml:space="preserve"> </w:t>
      </w:r>
      <w:r w:rsidR="004E5999" w:rsidRPr="00B57B6A">
        <w:rPr>
          <w:rFonts w:ascii="Times New Roman" w:hAnsi="Times New Roman" w:cs="Times New Roman"/>
          <w:sz w:val="24"/>
          <w:szCs w:val="24"/>
        </w:rPr>
        <w:t xml:space="preserve">The duty to prevent torture should inform and drive policy in societies where </w:t>
      </w:r>
      <w:r w:rsidRPr="00B57B6A">
        <w:rPr>
          <w:rFonts w:ascii="Times New Roman" w:hAnsi="Times New Roman" w:cs="Times New Roman"/>
          <w:sz w:val="24"/>
          <w:szCs w:val="24"/>
        </w:rPr>
        <w:t xml:space="preserve">service systems have </w:t>
      </w:r>
      <w:r w:rsidR="004E5999" w:rsidRPr="00B57B6A">
        <w:rPr>
          <w:rFonts w:ascii="Times New Roman" w:hAnsi="Times New Roman" w:cs="Times New Roman"/>
          <w:sz w:val="24"/>
          <w:szCs w:val="24"/>
        </w:rPr>
        <w:t>not yet been</w:t>
      </w:r>
      <w:r w:rsidRPr="00B57B6A">
        <w:rPr>
          <w:rFonts w:ascii="Times New Roman" w:hAnsi="Times New Roman" w:cs="Times New Roman"/>
          <w:sz w:val="24"/>
          <w:szCs w:val="24"/>
        </w:rPr>
        <w:t xml:space="preserve"> brought </w:t>
      </w:r>
      <w:r w:rsidR="004E5999" w:rsidRPr="00B57B6A">
        <w:rPr>
          <w:rFonts w:ascii="Times New Roman" w:hAnsi="Times New Roman" w:cs="Times New Roman"/>
          <w:sz w:val="24"/>
          <w:szCs w:val="24"/>
        </w:rPr>
        <w:t xml:space="preserve">into full compliance with the CRPD. Countries that have not yet </w:t>
      </w:r>
      <w:r w:rsidRPr="00B57B6A">
        <w:rPr>
          <w:rFonts w:ascii="Times New Roman" w:hAnsi="Times New Roman" w:cs="Times New Roman"/>
          <w:sz w:val="24"/>
          <w:szCs w:val="24"/>
        </w:rPr>
        <w:t>create</w:t>
      </w:r>
      <w:r w:rsidR="004E5999" w:rsidRPr="00B57B6A">
        <w:rPr>
          <w:rFonts w:ascii="Times New Roman" w:hAnsi="Times New Roman" w:cs="Times New Roman"/>
          <w:sz w:val="24"/>
          <w:szCs w:val="24"/>
        </w:rPr>
        <w:t>d</w:t>
      </w:r>
      <w:r w:rsidRPr="00B57B6A">
        <w:rPr>
          <w:rFonts w:ascii="Times New Roman" w:hAnsi="Times New Roman" w:cs="Times New Roman"/>
          <w:sz w:val="24"/>
          <w:szCs w:val="24"/>
        </w:rPr>
        <w:t xml:space="preserve"> a fully inclusive society – as mandated by</w:t>
      </w:r>
      <w:r w:rsidR="004E5999" w:rsidRPr="00B57B6A">
        <w:rPr>
          <w:rFonts w:ascii="Times New Roman" w:hAnsi="Times New Roman" w:cs="Times New Roman"/>
          <w:sz w:val="24"/>
          <w:szCs w:val="24"/>
        </w:rPr>
        <w:t xml:space="preserve"> CRPD Article 19 – </w:t>
      </w:r>
      <w:r w:rsidRPr="00B57B6A">
        <w:rPr>
          <w:rFonts w:ascii="Times New Roman" w:hAnsi="Times New Roman" w:cs="Times New Roman"/>
          <w:sz w:val="24"/>
          <w:szCs w:val="24"/>
        </w:rPr>
        <w:t xml:space="preserve">are still required to enforce Article 23 and ensure that children </w:t>
      </w:r>
      <w:r w:rsidR="004E5999" w:rsidRPr="00B57B6A">
        <w:rPr>
          <w:rFonts w:ascii="Times New Roman" w:hAnsi="Times New Roman" w:cs="Times New Roman"/>
          <w:sz w:val="24"/>
          <w:szCs w:val="24"/>
        </w:rPr>
        <w:t xml:space="preserve">can </w:t>
      </w:r>
      <w:r w:rsidRPr="00B57B6A">
        <w:rPr>
          <w:rFonts w:ascii="Times New Roman" w:hAnsi="Times New Roman" w:cs="Times New Roman"/>
          <w:sz w:val="24"/>
          <w:szCs w:val="24"/>
        </w:rPr>
        <w:t>grow up with a family. As a start, t</w:t>
      </w:r>
      <w:r w:rsidR="0098305C" w:rsidRPr="00B57B6A">
        <w:rPr>
          <w:rFonts w:ascii="Times New Roman" w:hAnsi="Times New Roman" w:cs="Times New Roman"/>
          <w:sz w:val="24"/>
          <w:szCs w:val="24"/>
        </w:rPr>
        <w:t xml:space="preserve">he CRPD Committee </w:t>
      </w:r>
      <w:r w:rsidRPr="00B57B6A">
        <w:rPr>
          <w:rFonts w:ascii="Times New Roman" w:hAnsi="Times New Roman" w:cs="Times New Roman"/>
          <w:sz w:val="24"/>
          <w:szCs w:val="24"/>
        </w:rPr>
        <w:t xml:space="preserve">also </w:t>
      </w:r>
      <w:r w:rsidR="0098305C" w:rsidRPr="00B57B6A">
        <w:rPr>
          <w:rFonts w:ascii="Times New Roman" w:hAnsi="Times New Roman" w:cs="Times New Roman"/>
          <w:sz w:val="24"/>
          <w:szCs w:val="24"/>
        </w:rPr>
        <w:t>appears to be supporting a moratorium on new placements.</w:t>
      </w:r>
      <w:r w:rsidR="004E5999" w:rsidRPr="00B57B6A">
        <w:rPr>
          <w:rFonts w:ascii="Times New Roman" w:hAnsi="Times New Roman" w:cs="Times New Roman"/>
          <w:sz w:val="24"/>
          <w:szCs w:val="24"/>
        </w:rPr>
        <w:t xml:space="preserve"> </w:t>
      </w:r>
      <w:r w:rsidR="008B27EE" w:rsidRPr="00B57B6A">
        <w:rPr>
          <w:rFonts w:ascii="Times New Roman" w:hAnsi="Times New Roman" w:cs="Times New Roman"/>
          <w:sz w:val="24"/>
          <w:szCs w:val="24"/>
        </w:rPr>
        <w:t>The CRPD Committee should clarify its position on a moratorium in 2017 when it adopts a General Comment on Article 19.</w:t>
      </w:r>
    </w:p>
    <w:p w14:paraId="0108738B" w14:textId="7F201D43" w:rsidR="005A5256" w:rsidRPr="00B57B6A" w:rsidRDefault="00CA4C4C"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lastRenderedPageBreak/>
        <w:t xml:space="preserve">The </w:t>
      </w:r>
      <w:r w:rsidR="006B56F3">
        <w:rPr>
          <w:rFonts w:ascii="Times New Roman" w:hAnsi="Times New Roman" w:cs="Times New Roman"/>
          <w:sz w:val="24"/>
          <w:szCs w:val="24"/>
        </w:rPr>
        <w:t xml:space="preserve">UN </w:t>
      </w:r>
      <w:r w:rsidRPr="00B57B6A">
        <w:rPr>
          <w:rFonts w:ascii="Times New Roman" w:hAnsi="Times New Roman" w:cs="Times New Roman"/>
          <w:sz w:val="24"/>
          <w:szCs w:val="24"/>
        </w:rPr>
        <w:t xml:space="preserve">Committee on the Rights of the Child should update standards on placement in institutions to reflect these important developments in the protection against torture and the right to full inclusion in society. </w:t>
      </w:r>
      <w:r w:rsidR="00F94D93" w:rsidRPr="00B57B6A">
        <w:rPr>
          <w:rFonts w:ascii="Times New Roman" w:hAnsi="Times New Roman" w:cs="Times New Roman"/>
          <w:sz w:val="24"/>
          <w:szCs w:val="24"/>
        </w:rPr>
        <w:t xml:space="preserve">General Comment </w:t>
      </w:r>
      <w:r w:rsidR="005416CF">
        <w:rPr>
          <w:rFonts w:ascii="Times New Roman" w:hAnsi="Times New Roman" w:cs="Times New Roman"/>
          <w:sz w:val="24"/>
          <w:szCs w:val="24"/>
        </w:rPr>
        <w:t>#</w:t>
      </w:r>
      <w:r w:rsidR="00F94D93" w:rsidRPr="00B57B6A">
        <w:rPr>
          <w:rFonts w:ascii="Times New Roman" w:hAnsi="Times New Roman" w:cs="Times New Roman"/>
          <w:sz w:val="24"/>
          <w:szCs w:val="24"/>
        </w:rPr>
        <w:t xml:space="preserve">9 </w:t>
      </w:r>
      <w:r w:rsidRPr="00B57B6A">
        <w:rPr>
          <w:rFonts w:ascii="Times New Roman" w:hAnsi="Times New Roman" w:cs="Times New Roman"/>
          <w:sz w:val="24"/>
          <w:szCs w:val="24"/>
        </w:rPr>
        <w:t xml:space="preserve">and </w:t>
      </w:r>
      <w:r w:rsidR="000467E6" w:rsidRPr="00B57B6A">
        <w:rPr>
          <w:rFonts w:ascii="Times New Roman" w:hAnsi="Times New Roman" w:cs="Times New Roman"/>
          <w:sz w:val="24"/>
          <w:szCs w:val="24"/>
        </w:rPr>
        <w:t xml:space="preserve">the Guidelines on Alternative Care </w:t>
      </w:r>
      <w:r w:rsidRPr="00B57B6A">
        <w:rPr>
          <w:rFonts w:ascii="Times New Roman" w:hAnsi="Times New Roman" w:cs="Times New Roman"/>
          <w:sz w:val="24"/>
          <w:szCs w:val="24"/>
        </w:rPr>
        <w:t xml:space="preserve">should be revised </w:t>
      </w:r>
      <w:r w:rsidR="00F94D93" w:rsidRPr="00B57B6A">
        <w:rPr>
          <w:rFonts w:ascii="Times New Roman" w:hAnsi="Times New Roman" w:cs="Times New Roman"/>
          <w:sz w:val="24"/>
          <w:szCs w:val="24"/>
        </w:rPr>
        <w:t xml:space="preserve">to add </w:t>
      </w:r>
      <w:r w:rsidRPr="00B57B6A">
        <w:rPr>
          <w:rFonts w:ascii="Times New Roman" w:hAnsi="Times New Roman" w:cs="Times New Roman"/>
          <w:sz w:val="24"/>
          <w:szCs w:val="24"/>
        </w:rPr>
        <w:t xml:space="preserve">the </w:t>
      </w:r>
      <w:r w:rsidR="00F94D93" w:rsidRPr="00B57B6A">
        <w:rPr>
          <w:rFonts w:ascii="Times New Roman" w:hAnsi="Times New Roman" w:cs="Times New Roman"/>
          <w:sz w:val="24"/>
          <w:szCs w:val="24"/>
        </w:rPr>
        <w:t xml:space="preserve">additional restrictions to institutional placement </w:t>
      </w:r>
      <w:r w:rsidRPr="00B57B6A">
        <w:rPr>
          <w:rFonts w:ascii="Times New Roman" w:hAnsi="Times New Roman" w:cs="Times New Roman"/>
          <w:sz w:val="24"/>
          <w:szCs w:val="24"/>
        </w:rPr>
        <w:t>recommended in the Méndez Report</w:t>
      </w:r>
      <w:r w:rsidR="000467E6" w:rsidRPr="00B57B6A">
        <w:rPr>
          <w:rFonts w:ascii="Times New Roman" w:hAnsi="Times New Roman" w:cs="Times New Roman"/>
          <w:sz w:val="24"/>
          <w:szCs w:val="24"/>
        </w:rPr>
        <w:t>: placement should be for the shortest time possible and in the least restrictive environment</w:t>
      </w:r>
      <w:r w:rsidR="00F94D93" w:rsidRPr="00B57B6A">
        <w:rPr>
          <w:rFonts w:ascii="Times New Roman" w:hAnsi="Times New Roman" w:cs="Times New Roman"/>
          <w:sz w:val="24"/>
          <w:szCs w:val="24"/>
        </w:rPr>
        <w:t xml:space="preserve">. </w:t>
      </w:r>
      <w:r w:rsidR="000467E6" w:rsidRPr="00B57B6A">
        <w:rPr>
          <w:rFonts w:ascii="Times New Roman" w:hAnsi="Times New Roman" w:cs="Times New Roman"/>
          <w:sz w:val="24"/>
          <w:szCs w:val="24"/>
        </w:rPr>
        <w:t>A clear and strong endorsement of the mandate to</w:t>
      </w:r>
      <w:r w:rsidR="00AF512B" w:rsidRPr="00B57B6A">
        <w:rPr>
          <w:rFonts w:ascii="Times New Roman" w:hAnsi="Times New Roman" w:cs="Times New Roman"/>
          <w:sz w:val="24"/>
          <w:szCs w:val="24"/>
        </w:rPr>
        <w:t xml:space="preserve"> adopt </w:t>
      </w:r>
      <w:r w:rsidR="000467E6" w:rsidRPr="00B57B6A">
        <w:rPr>
          <w:rFonts w:ascii="Times New Roman" w:hAnsi="Times New Roman" w:cs="Times New Roman"/>
          <w:sz w:val="24"/>
          <w:szCs w:val="24"/>
        </w:rPr>
        <w:t>a moratorium on new placements would also be helpful.</w:t>
      </w:r>
      <w:r w:rsidR="00F94D93" w:rsidRPr="00B57B6A">
        <w:rPr>
          <w:rFonts w:ascii="Times New Roman" w:hAnsi="Times New Roman" w:cs="Times New Roman"/>
          <w:sz w:val="24"/>
          <w:szCs w:val="24"/>
        </w:rPr>
        <w:t xml:space="preserve"> </w:t>
      </w:r>
      <w:r w:rsidR="001D6D20" w:rsidRPr="00B57B6A">
        <w:rPr>
          <w:rFonts w:ascii="Times New Roman" w:hAnsi="Times New Roman" w:cs="Times New Roman"/>
          <w:sz w:val="24"/>
          <w:szCs w:val="24"/>
        </w:rPr>
        <w:t>Further attention is needed to carefully examine the UN Guidelines for Alternative care to distinguish between what is called “residential care” and what actually constitutes an “institution.”</w:t>
      </w:r>
      <w:r w:rsidR="0066171B" w:rsidRPr="00B57B6A">
        <w:rPr>
          <w:rFonts w:ascii="Times New Roman" w:hAnsi="Times New Roman" w:cs="Times New Roman"/>
          <w:sz w:val="24"/>
          <w:szCs w:val="24"/>
        </w:rPr>
        <w:t xml:space="preserve"> </w:t>
      </w:r>
      <w:r w:rsidR="001D6D20" w:rsidRPr="00B57B6A">
        <w:rPr>
          <w:rFonts w:ascii="Times New Roman" w:hAnsi="Times New Roman" w:cs="Times New Roman"/>
          <w:sz w:val="24"/>
          <w:szCs w:val="24"/>
        </w:rPr>
        <w:t xml:space="preserve"> </w:t>
      </w:r>
    </w:p>
    <w:p w14:paraId="4AEE7B57" w14:textId="075404F8" w:rsidR="005A5256" w:rsidRPr="00B57B6A" w:rsidRDefault="001D6D20"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As established by CRPD</w:t>
      </w:r>
      <w:r w:rsidR="005A5256" w:rsidRPr="00B57B6A">
        <w:rPr>
          <w:rFonts w:ascii="Times New Roman" w:hAnsi="Times New Roman" w:cs="Times New Roman"/>
          <w:sz w:val="24"/>
          <w:szCs w:val="24"/>
        </w:rPr>
        <w:t xml:space="preserve"> Article 23</w:t>
      </w:r>
      <w:r w:rsidRPr="00B57B6A">
        <w:rPr>
          <w:rFonts w:ascii="Times New Roman" w:hAnsi="Times New Roman" w:cs="Times New Roman"/>
          <w:sz w:val="24"/>
          <w:szCs w:val="24"/>
        </w:rPr>
        <w:t>, the right of children to grow up with a family is fundamental and does not stop at the age of three.</w:t>
      </w:r>
      <w:r w:rsidR="005A5256" w:rsidRPr="00B57B6A">
        <w:rPr>
          <w:rFonts w:ascii="Times New Roman" w:hAnsi="Times New Roman" w:cs="Times New Roman"/>
          <w:sz w:val="24"/>
          <w:szCs w:val="24"/>
        </w:rPr>
        <w:t xml:space="preserve"> If there are limited circumstances when residential care might be appropriate for adolescents, experience shows that careful attention is needed to ensure that “residential” alternatives are not merely small institutions. In combination with CRPD Article 23, the Méndez Report’s call </w:t>
      </w:r>
      <w:r w:rsidR="009774D2" w:rsidRPr="00B57B6A">
        <w:rPr>
          <w:rFonts w:ascii="Times New Roman" w:hAnsi="Times New Roman" w:cs="Times New Roman"/>
          <w:sz w:val="24"/>
          <w:szCs w:val="24"/>
        </w:rPr>
        <w:t xml:space="preserve">limiting placement to </w:t>
      </w:r>
      <w:r w:rsidR="005A5256" w:rsidRPr="00B57B6A">
        <w:rPr>
          <w:rFonts w:ascii="Times New Roman" w:hAnsi="Times New Roman" w:cs="Times New Roman"/>
          <w:sz w:val="24"/>
          <w:szCs w:val="24"/>
        </w:rPr>
        <w:t xml:space="preserve">the “least restrictive alternative” </w:t>
      </w:r>
      <w:r w:rsidR="009774D2" w:rsidRPr="00B57B6A">
        <w:rPr>
          <w:rFonts w:ascii="Times New Roman" w:hAnsi="Times New Roman" w:cs="Times New Roman"/>
          <w:sz w:val="24"/>
          <w:szCs w:val="24"/>
        </w:rPr>
        <w:t>can be fulfilled by ensuring that children are provided the opportunity for</w:t>
      </w:r>
      <w:r w:rsidR="005A5256" w:rsidRPr="00B57B6A">
        <w:rPr>
          <w:rFonts w:ascii="Times New Roman" w:hAnsi="Times New Roman" w:cs="Times New Roman"/>
          <w:sz w:val="24"/>
          <w:szCs w:val="24"/>
        </w:rPr>
        <w:t xml:space="preserve"> full integration </w:t>
      </w:r>
      <w:r w:rsidR="007F06C0" w:rsidRPr="00B57B6A">
        <w:rPr>
          <w:rFonts w:ascii="Times New Roman" w:hAnsi="Times New Roman" w:cs="Times New Roman"/>
          <w:sz w:val="24"/>
          <w:szCs w:val="24"/>
        </w:rPr>
        <w:t xml:space="preserve">into </w:t>
      </w:r>
      <w:r w:rsidR="009774D2" w:rsidRPr="00B57B6A">
        <w:rPr>
          <w:rFonts w:ascii="Times New Roman" w:hAnsi="Times New Roman" w:cs="Times New Roman"/>
          <w:sz w:val="24"/>
          <w:szCs w:val="24"/>
        </w:rPr>
        <w:t>society with the support of a family.</w:t>
      </w:r>
    </w:p>
    <w:p w14:paraId="3622AE9A" w14:textId="49CAD7FF" w:rsidR="009774D2" w:rsidRPr="00B57B6A" w:rsidRDefault="004D254C"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Méndez Report is a reminder that the protection against torture </w:t>
      </w:r>
      <w:r w:rsidR="009774D2" w:rsidRPr="00B57B6A">
        <w:rPr>
          <w:rFonts w:ascii="Times New Roman" w:hAnsi="Times New Roman" w:cs="Times New Roman"/>
          <w:sz w:val="24"/>
          <w:szCs w:val="24"/>
        </w:rPr>
        <w:t>can never be delayed or denied. The duty to prohibit or pre</w:t>
      </w:r>
      <w:r w:rsidR="007F06C0" w:rsidRPr="00B57B6A">
        <w:rPr>
          <w:rFonts w:ascii="Times New Roman" w:hAnsi="Times New Roman" w:cs="Times New Roman"/>
          <w:sz w:val="24"/>
          <w:szCs w:val="24"/>
        </w:rPr>
        <w:t>vent torture must</w:t>
      </w:r>
      <w:r w:rsidR="009774D2" w:rsidRPr="00B57B6A">
        <w:rPr>
          <w:rFonts w:ascii="Times New Roman" w:hAnsi="Times New Roman" w:cs="Times New Roman"/>
          <w:sz w:val="24"/>
          <w:szCs w:val="24"/>
        </w:rPr>
        <w:t xml:space="preserve"> not be limited by the</w:t>
      </w:r>
      <w:r w:rsidRPr="00B57B6A">
        <w:rPr>
          <w:rFonts w:ascii="Times New Roman" w:hAnsi="Times New Roman" w:cs="Times New Roman"/>
          <w:sz w:val="24"/>
          <w:szCs w:val="24"/>
        </w:rPr>
        <w:t xml:space="preserve"> level of resources available to service systems. </w:t>
      </w:r>
      <w:r w:rsidR="009774D2" w:rsidRPr="00B57B6A">
        <w:rPr>
          <w:rFonts w:ascii="Times New Roman" w:hAnsi="Times New Roman" w:cs="Times New Roman"/>
          <w:sz w:val="24"/>
          <w:szCs w:val="24"/>
        </w:rPr>
        <w:t xml:space="preserve">If governments can be ordered to expend the necessary funds to improve care in institutions, as the European Court has done, those funds could just as well be used to support community alternatives. As a general rule, this is the way funding should be used consistent with the duty to prevent torture and segregation. </w:t>
      </w:r>
      <w:r w:rsidRPr="00B57B6A">
        <w:rPr>
          <w:rFonts w:ascii="Times New Roman" w:hAnsi="Times New Roman" w:cs="Times New Roman"/>
          <w:sz w:val="24"/>
          <w:szCs w:val="24"/>
        </w:rPr>
        <w:t xml:space="preserve"> </w:t>
      </w:r>
    </w:p>
    <w:p w14:paraId="0F511054" w14:textId="05CD3213" w:rsidR="001F182D" w:rsidRPr="00B57B6A" w:rsidRDefault="00D76DF4"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Further guidance fr</w:t>
      </w:r>
      <w:r w:rsidR="008D1356" w:rsidRPr="00B57B6A">
        <w:rPr>
          <w:rFonts w:ascii="Times New Roman" w:hAnsi="Times New Roman" w:cs="Times New Roman"/>
          <w:sz w:val="24"/>
          <w:szCs w:val="24"/>
        </w:rPr>
        <w:t>o</w:t>
      </w:r>
      <w:r w:rsidRPr="00B57B6A">
        <w:rPr>
          <w:rFonts w:ascii="Times New Roman" w:hAnsi="Times New Roman" w:cs="Times New Roman"/>
          <w:sz w:val="24"/>
          <w:szCs w:val="24"/>
        </w:rPr>
        <w:t>m the UN Special Rapporteur on Torture would be helpful to identify exactly when segregation itself rises to the level of ill-treatment or torture.</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Since abuses within institutions can amount to torture, governments should be challenged to fulfill their obligation to criminally prosecute acts of torture and provide reparations as a remedy for survivors of abuse.</w:t>
      </w:r>
      <w:r w:rsidR="0066171B" w:rsidRPr="00B57B6A">
        <w:rPr>
          <w:rFonts w:ascii="Times New Roman" w:hAnsi="Times New Roman" w:cs="Times New Roman"/>
          <w:sz w:val="24"/>
          <w:szCs w:val="24"/>
        </w:rPr>
        <w:t xml:space="preserve"> </w:t>
      </w:r>
      <w:r w:rsidR="004D254C" w:rsidRPr="00B57B6A">
        <w:rPr>
          <w:rFonts w:ascii="Times New Roman" w:hAnsi="Times New Roman" w:cs="Times New Roman"/>
          <w:sz w:val="24"/>
          <w:szCs w:val="24"/>
        </w:rPr>
        <w:t xml:space="preserve">The remedy for individuals subject to abuse should include </w:t>
      </w:r>
      <w:r w:rsidR="008B27EE" w:rsidRPr="00B57B6A">
        <w:rPr>
          <w:rFonts w:ascii="Times New Roman" w:hAnsi="Times New Roman" w:cs="Times New Roman"/>
          <w:sz w:val="24"/>
          <w:szCs w:val="24"/>
        </w:rPr>
        <w:t xml:space="preserve">the provision of services and supports necessary for </w:t>
      </w:r>
      <w:r w:rsidR="004D254C" w:rsidRPr="00B57B6A">
        <w:rPr>
          <w:rFonts w:ascii="Times New Roman" w:hAnsi="Times New Roman" w:cs="Times New Roman"/>
          <w:sz w:val="24"/>
          <w:szCs w:val="24"/>
        </w:rPr>
        <w:t xml:space="preserve">full community integration. </w:t>
      </w:r>
      <w:r w:rsidRPr="00B57B6A">
        <w:rPr>
          <w:rFonts w:ascii="Times New Roman" w:hAnsi="Times New Roman" w:cs="Times New Roman"/>
          <w:sz w:val="24"/>
          <w:szCs w:val="24"/>
        </w:rPr>
        <w:t xml:space="preserve">As described above, DRI’s </w:t>
      </w:r>
      <w:r w:rsidRPr="00B57B6A">
        <w:rPr>
          <w:rFonts w:ascii="Times New Roman" w:hAnsi="Times New Roman" w:cs="Times New Roman"/>
          <w:i/>
          <w:sz w:val="24"/>
          <w:szCs w:val="24"/>
        </w:rPr>
        <w:t>Casa Esperanza</w:t>
      </w:r>
      <w:r w:rsidRPr="00B57B6A">
        <w:rPr>
          <w:rFonts w:ascii="Times New Roman" w:hAnsi="Times New Roman" w:cs="Times New Roman"/>
          <w:sz w:val="24"/>
          <w:szCs w:val="24"/>
        </w:rPr>
        <w:t xml:space="preserve"> case against Mexico before the Inter-American Commission of Human Rights is testing the enforceability of this approach.</w:t>
      </w:r>
    </w:p>
    <w:p w14:paraId="619B768E" w14:textId="173F280B" w:rsidR="00D07ED4" w:rsidRPr="00B57B6A" w:rsidRDefault="00D76DF4"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Nearly fifty years ago, Professor Louis Henk</w:t>
      </w:r>
      <w:r w:rsidR="00D547AE">
        <w:rPr>
          <w:rFonts w:ascii="Times New Roman" w:hAnsi="Times New Roman" w:cs="Times New Roman"/>
          <w:sz w:val="24"/>
          <w:szCs w:val="24"/>
        </w:rPr>
        <w:t>i</w:t>
      </w:r>
      <w:r w:rsidRPr="00B57B6A">
        <w:rPr>
          <w:rFonts w:ascii="Times New Roman" w:hAnsi="Times New Roman" w:cs="Times New Roman"/>
          <w:sz w:val="24"/>
          <w:szCs w:val="24"/>
        </w:rPr>
        <w:t>n asked the question: why do governments follow international law?</w:t>
      </w:r>
      <w:r w:rsidR="0066171B" w:rsidRPr="00B57B6A">
        <w:rPr>
          <w:rFonts w:ascii="Times New Roman" w:hAnsi="Times New Roman" w:cs="Times New Roman"/>
          <w:sz w:val="24"/>
          <w:szCs w:val="24"/>
        </w:rPr>
        <w:t xml:space="preserve"> </w:t>
      </w:r>
      <w:r w:rsidRPr="00B57B6A">
        <w:rPr>
          <w:rFonts w:ascii="Times New Roman" w:hAnsi="Times New Roman" w:cs="Times New Roman"/>
          <w:sz w:val="24"/>
          <w:szCs w:val="24"/>
        </w:rPr>
        <w:t>His answer was that “[n]ations decide whether to obey law or agreements as they decide questions of national policy not involving legal obligations…on the basis of cost and advantage to the national interest….Nations act in conformity with law not from any concern for law but because they consider it in their interest to do so, and fear unpleasant consequences if they do not observe it.”</w:t>
      </w:r>
      <w:r w:rsidRPr="00B57B6A">
        <w:rPr>
          <w:rStyle w:val="FootnoteReference"/>
          <w:rFonts w:ascii="Times New Roman" w:hAnsi="Times New Roman" w:cs="Times New Roman"/>
          <w:sz w:val="24"/>
          <w:szCs w:val="24"/>
        </w:rPr>
        <w:footnoteReference w:id="273"/>
      </w:r>
      <w:r w:rsidR="00F31046" w:rsidRPr="00B57B6A">
        <w:rPr>
          <w:rFonts w:ascii="Times New Roman" w:hAnsi="Times New Roman" w:cs="Times New Roman"/>
          <w:sz w:val="24"/>
          <w:szCs w:val="24"/>
        </w:rPr>
        <w:t xml:space="preserve">  </w:t>
      </w:r>
      <w:r w:rsidR="00D07ED4" w:rsidRPr="00B57B6A">
        <w:rPr>
          <w:rFonts w:ascii="Times New Roman" w:hAnsi="Times New Roman" w:cs="Times New Roman"/>
          <w:sz w:val="24"/>
          <w:szCs w:val="24"/>
        </w:rPr>
        <w:t>Governments condemned for consigning their children to segregation from society will not think of building new institutions.</w:t>
      </w:r>
      <w:r w:rsidR="0066171B" w:rsidRPr="00B57B6A">
        <w:rPr>
          <w:rFonts w:ascii="Times New Roman" w:hAnsi="Times New Roman" w:cs="Times New Roman"/>
          <w:sz w:val="24"/>
          <w:szCs w:val="24"/>
        </w:rPr>
        <w:t xml:space="preserve"> </w:t>
      </w:r>
      <w:r w:rsidR="00D07ED4" w:rsidRPr="00B57B6A">
        <w:rPr>
          <w:rFonts w:ascii="Times New Roman" w:hAnsi="Times New Roman" w:cs="Times New Roman"/>
          <w:sz w:val="24"/>
          <w:szCs w:val="24"/>
        </w:rPr>
        <w:t>Nor will international charities and development agencies support such practices when it is understood that they are also perpetuating ill-treatment and torture.</w:t>
      </w:r>
      <w:r w:rsidR="0066171B" w:rsidRPr="00B57B6A">
        <w:rPr>
          <w:rFonts w:ascii="Times New Roman" w:hAnsi="Times New Roman" w:cs="Times New Roman"/>
          <w:sz w:val="24"/>
          <w:szCs w:val="24"/>
        </w:rPr>
        <w:t xml:space="preserve"> </w:t>
      </w:r>
      <w:r w:rsidR="00897832" w:rsidRPr="00B57B6A">
        <w:rPr>
          <w:rFonts w:ascii="Times New Roman" w:hAnsi="Times New Roman" w:cs="Times New Roman"/>
          <w:sz w:val="24"/>
          <w:szCs w:val="24"/>
        </w:rPr>
        <w:t xml:space="preserve">On the contrary, recognition of the dangers faced by children and the risk of torture may encourage and inspire international development organizations and charities to </w:t>
      </w:r>
      <w:r w:rsidR="008D1356" w:rsidRPr="00B57B6A">
        <w:rPr>
          <w:rFonts w:ascii="Times New Roman" w:hAnsi="Times New Roman" w:cs="Times New Roman"/>
          <w:sz w:val="24"/>
          <w:szCs w:val="24"/>
        </w:rPr>
        <w:t>prioritize the concerns of</w:t>
      </w:r>
      <w:r w:rsidR="00D547AE">
        <w:rPr>
          <w:rFonts w:ascii="Times New Roman" w:hAnsi="Times New Roman" w:cs="Times New Roman"/>
          <w:sz w:val="24"/>
          <w:szCs w:val="24"/>
        </w:rPr>
        <w:t xml:space="preserve"> </w:t>
      </w:r>
      <w:r w:rsidR="00897832" w:rsidRPr="00B57B6A">
        <w:rPr>
          <w:rFonts w:ascii="Times New Roman" w:hAnsi="Times New Roman" w:cs="Times New Roman"/>
          <w:sz w:val="24"/>
          <w:szCs w:val="24"/>
        </w:rPr>
        <w:t>children in institutions</w:t>
      </w:r>
      <w:r w:rsidR="008D1356" w:rsidRPr="00B57B6A">
        <w:rPr>
          <w:rFonts w:ascii="Times New Roman" w:hAnsi="Times New Roman" w:cs="Times New Roman"/>
          <w:sz w:val="24"/>
          <w:szCs w:val="24"/>
        </w:rPr>
        <w:t xml:space="preserve">. Support for at-risk families and investments in community services for children with disabilities are essential to </w:t>
      </w:r>
      <w:r w:rsidR="008D1356" w:rsidRPr="00B57B6A">
        <w:rPr>
          <w:rFonts w:ascii="Times New Roman" w:hAnsi="Times New Roman" w:cs="Times New Roman"/>
          <w:sz w:val="24"/>
          <w:szCs w:val="24"/>
        </w:rPr>
        <w:lastRenderedPageBreak/>
        <w:t>protect against ill-treatment and torture, exploitation and trafficking, and possibly life-time segregation</w:t>
      </w:r>
      <w:r w:rsidR="000C691A" w:rsidRPr="00B57B6A">
        <w:rPr>
          <w:rFonts w:ascii="Times New Roman" w:hAnsi="Times New Roman" w:cs="Times New Roman"/>
          <w:sz w:val="24"/>
          <w:szCs w:val="24"/>
        </w:rPr>
        <w:t xml:space="preserve"> of a large population</w:t>
      </w:r>
      <w:r w:rsidR="008D1356" w:rsidRPr="00B57B6A">
        <w:rPr>
          <w:rFonts w:ascii="Times New Roman" w:hAnsi="Times New Roman" w:cs="Times New Roman"/>
          <w:sz w:val="24"/>
          <w:szCs w:val="24"/>
        </w:rPr>
        <w:t>.</w:t>
      </w:r>
    </w:p>
    <w:p w14:paraId="68455646" w14:textId="6CD0CB46" w:rsidR="00F31046" w:rsidRPr="00B57B6A" w:rsidRDefault="00F31046"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Powerful as it may be to condemn human rights violations, the Méndez Report opens </w:t>
      </w:r>
      <w:r w:rsidR="00897832" w:rsidRPr="00B57B6A">
        <w:rPr>
          <w:rFonts w:ascii="Times New Roman" w:hAnsi="Times New Roman" w:cs="Times New Roman"/>
          <w:sz w:val="24"/>
          <w:szCs w:val="24"/>
        </w:rPr>
        <w:t>i</w:t>
      </w:r>
      <w:r w:rsidRPr="00B57B6A">
        <w:rPr>
          <w:rFonts w:ascii="Times New Roman" w:hAnsi="Times New Roman" w:cs="Times New Roman"/>
          <w:sz w:val="24"/>
          <w:szCs w:val="24"/>
        </w:rPr>
        <w:t xml:space="preserve">mportant new avenues for international collaboration. As he accepted his mandate as Special Rapporteur, Juan Méndez emphasized that he would take </w:t>
      </w:r>
      <w:r w:rsidR="007F06C0" w:rsidRPr="00B57B6A">
        <w:rPr>
          <w:rFonts w:ascii="Times New Roman" w:hAnsi="Times New Roman" w:cs="Times New Roman"/>
          <w:sz w:val="24"/>
          <w:szCs w:val="24"/>
        </w:rPr>
        <w:t xml:space="preserve">a </w:t>
      </w:r>
      <w:r w:rsidRPr="00B57B6A">
        <w:rPr>
          <w:rFonts w:ascii="Times New Roman" w:hAnsi="Times New Roman" w:cs="Times New Roman"/>
          <w:sz w:val="24"/>
          <w:szCs w:val="24"/>
        </w:rPr>
        <w:t>“victim-centered” approach with</w:t>
      </w:r>
      <w:r w:rsidR="007F06C0" w:rsidRPr="00B57B6A">
        <w:rPr>
          <w:rFonts w:ascii="Times New Roman" w:hAnsi="Times New Roman" w:cs="Times New Roman"/>
          <w:sz w:val="24"/>
          <w:szCs w:val="24"/>
        </w:rPr>
        <w:t xml:space="preserve"> the</w:t>
      </w:r>
      <w:r w:rsidRPr="00B57B6A">
        <w:rPr>
          <w:rFonts w:ascii="Times New Roman" w:hAnsi="Times New Roman" w:cs="Times New Roman"/>
          <w:sz w:val="24"/>
          <w:szCs w:val="24"/>
        </w:rPr>
        <w:t xml:space="preserve"> objective of “identifying areas of cooperation in this common quest and engaging States to prevent torture, and to join efforts to look for the most effective ways to achieve compliance with the absolute prohibition of torture as provided by international law.”</w:t>
      </w:r>
      <w:r w:rsidRPr="00B57B6A">
        <w:rPr>
          <w:rStyle w:val="FootnoteReference"/>
          <w:rFonts w:ascii="Times New Roman" w:hAnsi="Times New Roman" w:cs="Times New Roman"/>
          <w:sz w:val="24"/>
          <w:szCs w:val="24"/>
        </w:rPr>
        <w:footnoteReference w:id="274"/>
      </w:r>
      <w:r w:rsidRPr="00B57B6A">
        <w:rPr>
          <w:rFonts w:ascii="Times New Roman" w:hAnsi="Times New Roman" w:cs="Times New Roman"/>
          <w:sz w:val="24"/>
          <w:szCs w:val="24"/>
        </w:rPr>
        <w:t xml:space="preserve"> The analysis and recommendations in the Méndez Report can be of help to governments and international donors in developing the most effective programs to address the needs of some </w:t>
      </w:r>
      <w:r w:rsidR="007F06C0" w:rsidRPr="00B57B6A">
        <w:rPr>
          <w:rFonts w:ascii="Times New Roman" w:hAnsi="Times New Roman" w:cs="Times New Roman"/>
          <w:sz w:val="24"/>
          <w:szCs w:val="24"/>
        </w:rPr>
        <w:t xml:space="preserve">of </w:t>
      </w:r>
      <w:r w:rsidRPr="00B57B6A">
        <w:rPr>
          <w:rFonts w:ascii="Times New Roman" w:hAnsi="Times New Roman" w:cs="Times New Roman"/>
          <w:sz w:val="24"/>
          <w:szCs w:val="24"/>
        </w:rPr>
        <w:t>the most at-risk children in the world.</w:t>
      </w:r>
    </w:p>
    <w:p w14:paraId="1082D5FF" w14:textId="41B34657" w:rsidR="00F31046" w:rsidRPr="00B57B6A" w:rsidRDefault="003653A4" w:rsidP="00B57B6A">
      <w:pPr>
        <w:spacing w:line="240" w:lineRule="auto"/>
        <w:jc w:val="both"/>
        <w:rPr>
          <w:rFonts w:ascii="Times New Roman" w:hAnsi="Times New Roman" w:cs="Times New Roman"/>
          <w:sz w:val="24"/>
          <w:szCs w:val="24"/>
        </w:rPr>
      </w:pPr>
      <w:r w:rsidRPr="00B57B6A">
        <w:rPr>
          <w:rFonts w:ascii="Times New Roman" w:hAnsi="Times New Roman" w:cs="Times New Roman"/>
          <w:sz w:val="24"/>
          <w:szCs w:val="24"/>
        </w:rPr>
        <w:t xml:space="preserve">The fate of </w:t>
      </w:r>
      <w:r w:rsidR="005416CF">
        <w:rPr>
          <w:rFonts w:ascii="Times New Roman" w:hAnsi="Times New Roman" w:cs="Times New Roman"/>
          <w:sz w:val="24"/>
          <w:szCs w:val="24"/>
        </w:rPr>
        <w:t xml:space="preserve">8 to </w:t>
      </w:r>
      <w:r w:rsidRPr="00B57B6A">
        <w:rPr>
          <w:rFonts w:ascii="Times New Roman" w:hAnsi="Times New Roman" w:cs="Times New Roman"/>
          <w:sz w:val="24"/>
          <w:szCs w:val="24"/>
        </w:rPr>
        <w:t xml:space="preserve">10 million children </w:t>
      </w:r>
      <w:r w:rsidR="007F06C0" w:rsidRPr="00B57B6A">
        <w:rPr>
          <w:rFonts w:ascii="Times New Roman" w:hAnsi="Times New Roman" w:cs="Times New Roman"/>
          <w:sz w:val="24"/>
          <w:szCs w:val="24"/>
        </w:rPr>
        <w:t xml:space="preserve">now </w:t>
      </w:r>
      <w:r w:rsidRPr="00B57B6A">
        <w:rPr>
          <w:rFonts w:ascii="Times New Roman" w:hAnsi="Times New Roman" w:cs="Times New Roman"/>
          <w:sz w:val="24"/>
          <w:szCs w:val="24"/>
        </w:rPr>
        <w:t xml:space="preserve">living in </w:t>
      </w:r>
      <w:r w:rsidR="007F06C0" w:rsidRPr="00B57B6A">
        <w:rPr>
          <w:rFonts w:ascii="Times New Roman" w:hAnsi="Times New Roman" w:cs="Times New Roman"/>
          <w:sz w:val="24"/>
          <w:szCs w:val="24"/>
        </w:rPr>
        <w:t>institutions and orphanages</w:t>
      </w:r>
      <w:r w:rsidRPr="00B57B6A">
        <w:rPr>
          <w:rFonts w:ascii="Times New Roman" w:hAnsi="Times New Roman" w:cs="Times New Roman"/>
          <w:sz w:val="24"/>
          <w:szCs w:val="24"/>
        </w:rPr>
        <w:t xml:space="preserve"> – and future generations </w:t>
      </w:r>
      <w:r w:rsidR="007F06C0" w:rsidRPr="00B57B6A">
        <w:rPr>
          <w:rFonts w:ascii="Times New Roman" w:hAnsi="Times New Roman" w:cs="Times New Roman"/>
          <w:sz w:val="24"/>
          <w:szCs w:val="24"/>
        </w:rPr>
        <w:t xml:space="preserve">of children </w:t>
      </w:r>
      <w:r w:rsidRPr="00B57B6A">
        <w:rPr>
          <w:rFonts w:ascii="Times New Roman" w:hAnsi="Times New Roman" w:cs="Times New Roman"/>
          <w:sz w:val="24"/>
          <w:szCs w:val="24"/>
        </w:rPr>
        <w:t>w</w:t>
      </w:r>
      <w:r w:rsidR="007F06C0" w:rsidRPr="00B57B6A">
        <w:rPr>
          <w:rFonts w:ascii="Times New Roman" w:hAnsi="Times New Roman" w:cs="Times New Roman"/>
          <w:sz w:val="24"/>
          <w:szCs w:val="24"/>
        </w:rPr>
        <w:t>ho may be separated from their families</w:t>
      </w:r>
      <w:r w:rsidRPr="00B57B6A">
        <w:rPr>
          <w:rFonts w:ascii="Times New Roman" w:hAnsi="Times New Roman" w:cs="Times New Roman"/>
          <w:sz w:val="24"/>
          <w:szCs w:val="24"/>
        </w:rPr>
        <w:t xml:space="preserve"> – </w:t>
      </w:r>
      <w:r w:rsidR="00F31046" w:rsidRPr="00B57B6A">
        <w:rPr>
          <w:rFonts w:ascii="Times New Roman" w:hAnsi="Times New Roman" w:cs="Times New Roman"/>
          <w:sz w:val="24"/>
          <w:szCs w:val="24"/>
        </w:rPr>
        <w:t>hangs in the balance. Many of the troubles of the world derive from intractable problems or require the commitment of resources so great as to overwhelm efforts to bring them to an end. The segregation and abuse of children is not one of those problem</w:t>
      </w:r>
      <w:r w:rsidR="006A1A3E" w:rsidRPr="00B57B6A">
        <w:rPr>
          <w:rFonts w:ascii="Times New Roman" w:hAnsi="Times New Roman" w:cs="Times New Roman"/>
          <w:sz w:val="24"/>
          <w:szCs w:val="24"/>
        </w:rPr>
        <w:t>s</w:t>
      </w:r>
      <w:r w:rsidR="00F31046" w:rsidRPr="00B57B6A">
        <w:rPr>
          <w:rFonts w:ascii="Times New Roman" w:hAnsi="Times New Roman" w:cs="Times New Roman"/>
          <w:sz w:val="24"/>
          <w:szCs w:val="24"/>
        </w:rPr>
        <w:t>. The separation of children from their paren</w:t>
      </w:r>
      <w:r w:rsidR="008B27EE" w:rsidRPr="00B57B6A">
        <w:rPr>
          <w:rFonts w:ascii="Times New Roman" w:hAnsi="Times New Roman" w:cs="Times New Roman"/>
          <w:sz w:val="24"/>
          <w:szCs w:val="24"/>
        </w:rPr>
        <w:t xml:space="preserve">ts and from society is </w:t>
      </w:r>
      <w:r w:rsidR="00F31046" w:rsidRPr="00B57B6A">
        <w:rPr>
          <w:rFonts w:ascii="Times New Roman" w:hAnsi="Times New Roman" w:cs="Times New Roman"/>
          <w:sz w:val="24"/>
          <w:szCs w:val="24"/>
        </w:rPr>
        <w:t xml:space="preserve">the </w:t>
      </w:r>
      <w:r w:rsidR="007F06C0" w:rsidRPr="00B57B6A">
        <w:rPr>
          <w:rFonts w:ascii="Times New Roman" w:hAnsi="Times New Roman" w:cs="Times New Roman"/>
          <w:sz w:val="24"/>
          <w:szCs w:val="24"/>
        </w:rPr>
        <w:t>result</w:t>
      </w:r>
      <w:r w:rsidR="00F31046" w:rsidRPr="00B57B6A">
        <w:rPr>
          <w:rFonts w:ascii="Times New Roman" w:hAnsi="Times New Roman" w:cs="Times New Roman"/>
          <w:sz w:val="24"/>
          <w:szCs w:val="24"/>
        </w:rPr>
        <w:t xml:space="preserve"> of misguided</w:t>
      </w:r>
      <w:r w:rsidR="006A1A3E" w:rsidRPr="00B57B6A">
        <w:rPr>
          <w:rFonts w:ascii="Times New Roman" w:hAnsi="Times New Roman" w:cs="Times New Roman"/>
          <w:sz w:val="24"/>
          <w:szCs w:val="24"/>
        </w:rPr>
        <w:t>,</w:t>
      </w:r>
      <w:r w:rsidR="00F31046" w:rsidRPr="00B57B6A">
        <w:rPr>
          <w:rFonts w:ascii="Times New Roman" w:hAnsi="Times New Roman" w:cs="Times New Roman"/>
          <w:sz w:val="24"/>
          <w:szCs w:val="24"/>
        </w:rPr>
        <w:t xml:space="preserve"> but often well-meaning</w:t>
      </w:r>
      <w:r w:rsidR="007F06C0" w:rsidRPr="00B57B6A">
        <w:rPr>
          <w:rFonts w:ascii="Times New Roman" w:hAnsi="Times New Roman" w:cs="Times New Roman"/>
          <w:sz w:val="24"/>
          <w:szCs w:val="24"/>
        </w:rPr>
        <w:t>,</w:t>
      </w:r>
      <w:r w:rsidR="00F31046" w:rsidRPr="00B57B6A">
        <w:rPr>
          <w:rFonts w:ascii="Times New Roman" w:hAnsi="Times New Roman" w:cs="Times New Roman"/>
          <w:sz w:val="24"/>
          <w:szCs w:val="24"/>
        </w:rPr>
        <w:t xml:space="preserve"> policies and programs. The</w:t>
      </w:r>
      <w:r w:rsidR="00897832" w:rsidRPr="00B57B6A">
        <w:rPr>
          <w:rFonts w:ascii="Times New Roman" w:hAnsi="Times New Roman" w:cs="Times New Roman"/>
          <w:sz w:val="24"/>
          <w:szCs w:val="24"/>
        </w:rPr>
        <w:t xml:space="preserve"> </w:t>
      </w:r>
      <w:r w:rsidR="00F31046" w:rsidRPr="00B57B6A">
        <w:rPr>
          <w:rFonts w:ascii="Times New Roman" w:hAnsi="Times New Roman" w:cs="Times New Roman"/>
          <w:sz w:val="24"/>
          <w:szCs w:val="24"/>
        </w:rPr>
        <w:t>resources no</w:t>
      </w:r>
      <w:r w:rsidR="00897832" w:rsidRPr="00B57B6A">
        <w:rPr>
          <w:rFonts w:ascii="Times New Roman" w:hAnsi="Times New Roman" w:cs="Times New Roman"/>
          <w:sz w:val="24"/>
          <w:szCs w:val="24"/>
        </w:rPr>
        <w:t>w</w:t>
      </w:r>
      <w:r w:rsidR="00F31046" w:rsidRPr="00B57B6A">
        <w:rPr>
          <w:rFonts w:ascii="Times New Roman" w:hAnsi="Times New Roman" w:cs="Times New Roman"/>
          <w:sz w:val="24"/>
          <w:szCs w:val="24"/>
        </w:rPr>
        <w:t xml:space="preserve"> going to fund institutions are more than enough to protect the right of every child in the world to grow up with a family. Th</w:t>
      </w:r>
      <w:r w:rsidR="00897832" w:rsidRPr="00B57B6A">
        <w:rPr>
          <w:rFonts w:ascii="Times New Roman" w:hAnsi="Times New Roman" w:cs="Times New Roman"/>
          <w:sz w:val="24"/>
          <w:szCs w:val="24"/>
        </w:rPr>
        <w:t xml:space="preserve">e enormous outpouring of volunteer efforts now going to support orphanages is an indication of the deep care and concern felt for children around the world. </w:t>
      </w:r>
      <w:r w:rsidR="007F06C0" w:rsidRPr="00B57B6A">
        <w:rPr>
          <w:rFonts w:ascii="Times New Roman" w:hAnsi="Times New Roman" w:cs="Times New Roman"/>
          <w:sz w:val="24"/>
          <w:szCs w:val="24"/>
        </w:rPr>
        <w:t>That same energy can be redirected to protect the right of every child to grow up with a family.</w:t>
      </w:r>
      <w:r w:rsidR="00897832" w:rsidRPr="00B57B6A">
        <w:rPr>
          <w:rFonts w:ascii="Times New Roman" w:hAnsi="Times New Roman" w:cs="Times New Roman"/>
          <w:sz w:val="24"/>
          <w:szCs w:val="24"/>
        </w:rPr>
        <w:t xml:space="preserve"> We are deeply in debt the UN Special Rapporteur for lighting the fire of urgency to solve this worldwide problem.</w:t>
      </w:r>
    </w:p>
    <w:p w14:paraId="031E5688" w14:textId="77777777" w:rsidR="00F31046" w:rsidRPr="00B57B6A" w:rsidRDefault="00F31046" w:rsidP="00B57B6A">
      <w:pPr>
        <w:spacing w:line="240" w:lineRule="auto"/>
        <w:jc w:val="both"/>
        <w:rPr>
          <w:rFonts w:ascii="Times New Roman" w:hAnsi="Times New Roman" w:cs="Times New Roman"/>
          <w:sz w:val="24"/>
          <w:szCs w:val="24"/>
        </w:rPr>
      </w:pPr>
    </w:p>
    <w:sectPr w:rsidR="00F31046" w:rsidRPr="00B57B6A" w:rsidSect="002010EE">
      <w:headerReference w:type="default" r:id="rId9"/>
      <w:footerReference w:type="even" r:id="rId10"/>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08607" w14:textId="77777777" w:rsidR="006C7DB6" w:rsidRDefault="006C7DB6" w:rsidP="00963A75">
      <w:pPr>
        <w:spacing w:after="0" w:line="240" w:lineRule="auto"/>
      </w:pPr>
      <w:r>
        <w:separator/>
      </w:r>
    </w:p>
  </w:endnote>
  <w:endnote w:type="continuationSeparator" w:id="0">
    <w:p w14:paraId="5E066575" w14:textId="77777777" w:rsidR="006C7DB6" w:rsidRDefault="006C7DB6" w:rsidP="00963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egoe UI">
    <w:altName w:val="Calibri"/>
    <w:charset w:val="00"/>
    <w:family w:val="swiss"/>
    <w:pitch w:val="variable"/>
    <w:sig w:usb0="E4002EFF" w:usb1="C000E47F"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D9C3E" w14:textId="77777777" w:rsidR="001A3CF6" w:rsidRDefault="001A3CF6" w:rsidP="00E91E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3BF472" w14:textId="77777777" w:rsidR="001A3CF6" w:rsidRDefault="001A3CF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47C34" w14:textId="6AE7B7AB" w:rsidR="001A3CF6" w:rsidRDefault="001A3CF6" w:rsidP="00E91E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479C">
      <w:rPr>
        <w:rStyle w:val="PageNumber"/>
        <w:noProof/>
      </w:rPr>
      <w:t>53</w:t>
    </w:r>
    <w:r>
      <w:rPr>
        <w:rStyle w:val="PageNumber"/>
      </w:rPr>
      <w:fldChar w:fldCharType="end"/>
    </w:r>
  </w:p>
  <w:p w14:paraId="6544CAC9" w14:textId="77777777" w:rsidR="001A3CF6" w:rsidRDefault="001A3CF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E0F786" w14:textId="77777777" w:rsidR="006C7DB6" w:rsidRDefault="006C7DB6" w:rsidP="00963A75">
      <w:pPr>
        <w:spacing w:after="0" w:line="240" w:lineRule="auto"/>
      </w:pPr>
      <w:r>
        <w:separator/>
      </w:r>
    </w:p>
  </w:footnote>
  <w:footnote w:type="continuationSeparator" w:id="0">
    <w:p w14:paraId="27FF4DA4" w14:textId="77777777" w:rsidR="006C7DB6" w:rsidRDefault="006C7DB6" w:rsidP="00963A75">
      <w:pPr>
        <w:spacing w:after="0" w:line="240" w:lineRule="auto"/>
      </w:pPr>
      <w:r>
        <w:continuationSeparator/>
      </w:r>
    </w:p>
  </w:footnote>
  <w:footnote w:id="1">
    <w:p w14:paraId="74F76CA6" w14:textId="1E93FFAE" w:rsidR="001A3CF6" w:rsidRPr="009E1C12" w:rsidRDefault="001A3CF6" w:rsidP="00EB136D">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Eric Rosenthal is </w:t>
      </w:r>
      <w:r>
        <w:rPr>
          <w:rFonts w:asciiTheme="majorBidi" w:hAnsiTheme="majorBidi" w:cstheme="majorBidi"/>
        </w:rPr>
        <w:t xml:space="preserve">the </w:t>
      </w:r>
      <w:r w:rsidRPr="009E1C12">
        <w:rPr>
          <w:rFonts w:asciiTheme="majorBidi" w:hAnsiTheme="majorBidi" w:cstheme="majorBidi"/>
        </w:rPr>
        <w:t xml:space="preserve">founder and Executive Director of Disability Rights International (DRI).  Rosenthal was the 2015-2016 Fr. Robert Drinan Chair in International Human Rights at Georgetown University Law Center. The author gratefully acknowledges the support of </w:t>
      </w:r>
      <w:r>
        <w:rPr>
          <w:rFonts w:asciiTheme="majorBidi" w:hAnsiTheme="majorBidi" w:cstheme="majorBidi"/>
        </w:rPr>
        <w:t>the Drinan Chair at Georgetown fo</w:t>
      </w:r>
      <w:r w:rsidRPr="009E1C12">
        <w:rPr>
          <w:rFonts w:asciiTheme="majorBidi" w:hAnsiTheme="majorBidi" w:cstheme="majorBidi"/>
        </w:rPr>
        <w:t xml:space="preserve">r supporting research on this paper.  Professor Arlene Kanter, Syracuse University Law School, Megan Rusciano, Arc of Northern Virginia, and Priscila Rodriguez of DRI provided invaluable comments. </w:t>
      </w:r>
      <w:r>
        <w:rPr>
          <w:rFonts w:asciiTheme="majorBidi" w:hAnsiTheme="majorBidi" w:cstheme="majorBidi"/>
        </w:rPr>
        <w:t xml:space="preserve">Rachel Arnold, Lisbet Brizuela, Mikey Orkin, </w:t>
      </w:r>
      <w:r w:rsidRPr="009E1C12">
        <w:rPr>
          <w:rFonts w:asciiTheme="majorBidi" w:hAnsiTheme="majorBidi" w:cstheme="majorBidi"/>
        </w:rPr>
        <w:t xml:space="preserve">Juan Ignacio Bellow, Megan Abbot, Avery Kelly, </w:t>
      </w:r>
      <w:r>
        <w:rPr>
          <w:rFonts w:asciiTheme="majorBidi" w:hAnsiTheme="majorBidi" w:cstheme="majorBidi"/>
        </w:rPr>
        <w:t xml:space="preserve">Nicole Endsley assisted </w:t>
      </w:r>
      <w:r w:rsidRPr="009E1C12">
        <w:rPr>
          <w:rFonts w:asciiTheme="majorBidi" w:hAnsiTheme="majorBidi" w:cstheme="majorBidi"/>
        </w:rPr>
        <w:t xml:space="preserve">with </w:t>
      </w:r>
      <w:r>
        <w:rPr>
          <w:rFonts w:asciiTheme="majorBidi" w:hAnsiTheme="majorBidi" w:cstheme="majorBidi"/>
        </w:rPr>
        <w:t xml:space="preserve">research and </w:t>
      </w:r>
      <w:r w:rsidRPr="009E1C12">
        <w:rPr>
          <w:rFonts w:asciiTheme="majorBidi" w:hAnsiTheme="majorBidi" w:cstheme="majorBidi"/>
        </w:rPr>
        <w:t>editing. The author especially thanks DRI President Laurie Ahern who, at a time before international jurisprudence recognized that treatment could constitute torture, persuaded DRI to take a stand on this issue. Th</w:t>
      </w:r>
      <w:r>
        <w:rPr>
          <w:rFonts w:asciiTheme="majorBidi" w:hAnsiTheme="majorBidi" w:cstheme="majorBidi"/>
        </w:rPr>
        <w:t>e</w:t>
      </w:r>
      <w:r w:rsidRPr="009E1C12">
        <w:rPr>
          <w:rFonts w:asciiTheme="majorBidi" w:hAnsiTheme="majorBidi" w:cstheme="majorBidi"/>
        </w:rPr>
        <w:t xml:space="preserve"> article is dedicated to Karen Green McGowan, President of the Developmental Disabilities Nurses Association, who has demonstrated that we can never give up on a meaningful </w:t>
      </w:r>
      <w:r>
        <w:rPr>
          <w:rFonts w:asciiTheme="majorBidi" w:hAnsiTheme="majorBidi" w:cstheme="majorBidi"/>
        </w:rPr>
        <w:t xml:space="preserve">family </w:t>
      </w:r>
      <w:r w:rsidRPr="009E1C12">
        <w:rPr>
          <w:rFonts w:asciiTheme="majorBidi" w:hAnsiTheme="majorBidi" w:cstheme="majorBidi"/>
        </w:rPr>
        <w:t xml:space="preserve">life for every child.  </w:t>
      </w:r>
      <w:r>
        <w:rPr>
          <w:rFonts w:asciiTheme="majorBidi" w:hAnsiTheme="majorBidi" w:cstheme="majorBidi"/>
        </w:rPr>
        <w:t>C</w:t>
      </w:r>
      <w:r w:rsidRPr="009E1C12">
        <w:rPr>
          <w:rFonts w:asciiTheme="majorBidi" w:hAnsiTheme="majorBidi" w:cstheme="majorBidi"/>
        </w:rPr>
        <w:t xml:space="preserve">orrespondence on this article </w:t>
      </w:r>
      <w:r>
        <w:rPr>
          <w:rFonts w:asciiTheme="majorBidi" w:hAnsiTheme="majorBidi" w:cstheme="majorBidi"/>
        </w:rPr>
        <w:t xml:space="preserve">can be sent </w:t>
      </w:r>
      <w:r w:rsidRPr="009E1C12">
        <w:rPr>
          <w:rFonts w:asciiTheme="majorBidi" w:hAnsiTheme="majorBidi" w:cstheme="majorBidi"/>
        </w:rPr>
        <w:t xml:space="preserve">to </w:t>
      </w:r>
      <w:hyperlink r:id="rId1" w:history="1">
        <w:r w:rsidRPr="009E1C12">
          <w:rPr>
            <w:rStyle w:val="Hyperlink"/>
            <w:rFonts w:asciiTheme="majorBidi" w:hAnsiTheme="majorBidi" w:cstheme="majorBidi"/>
          </w:rPr>
          <w:t>erosenthal@DRIadvocacy.org</w:t>
        </w:r>
      </w:hyperlink>
      <w:r w:rsidRPr="009E1C12">
        <w:rPr>
          <w:rStyle w:val="Hyperlink"/>
          <w:rFonts w:asciiTheme="majorBidi" w:hAnsiTheme="majorBidi" w:cstheme="majorBidi"/>
        </w:rPr>
        <w:t>.</w:t>
      </w:r>
      <w:r w:rsidRPr="009E1C12">
        <w:rPr>
          <w:rFonts w:asciiTheme="majorBidi" w:hAnsiTheme="majorBidi" w:cstheme="majorBidi"/>
        </w:rPr>
        <w:t xml:space="preserve"> </w:t>
      </w:r>
    </w:p>
  </w:footnote>
  <w:footnote w:id="2">
    <w:p w14:paraId="10376CCB" w14:textId="0A84BC82" w:rsidR="001A3CF6" w:rsidRPr="009E1C12" w:rsidRDefault="001A3CF6" w:rsidP="00374FB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UN Human Rights Council, </w:t>
      </w:r>
      <w:r w:rsidRPr="009E1C12">
        <w:rPr>
          <w:rFonts w:asciiTheme="majorBidi" w:hAnsiTheme="majorBidi" w:cstheme="majorBidi"/>
          <w:i/>
          <w:iCs/>
        </w:rPr>
        <w:t>Report of the Special Rapporteur on torture and other cruel, inhuman or degrading treatment or punishment</w:t>
      </w:r>
      <w:r>
        <w:rPr>
          <w:rFonts w:asciiTheme="majorBidi" w:hAnsiTheme="majorBidi" w:cstheme="majorBidi"/>
          <w:i/>
          <w:iCs/>
        </w:rPr>
        <w:t xml:space="preserve"> </w:t>
      </w:r>
      <w:r w:rsidRPr="009E1C12">
        <w:rPr>
          <w:rFonts w:ascii="Times New Roman" w:hAnsi="Times New Roman" w:cs="Times New Roman"/>
          <w:iCs/>
        </w:rPr>
        <w:t>Juan E.</w:t>
      </w:r>
      <w:r w:rsidRPr="009E1C12">
        <w:rPr>
          <w:rFonts w:ascii="Times New Roman" w:hAnsi="Times New Roman" w:cs="Times New Roman"/>
          <w:i/>
          <w:iCs/>
        </w:rPr>
        <w:t xml:space="preserve"> </w:t>
      </w:r>
      <w:r w:rsidRPr="009E1C12">
        <w:rPr>
          <w:rFonts w:ascii="Times New Roman" w:hAnsi="Times New Roman" w:cs="Times New Roman"/>
        </w:rPr>
        <w:t>Méndez</w:t>
      </w:r>
      <w:r w:rsidRPr="009E1C12">
        <w:rPr>
          <w:rFonts w:asciiTheme="majorBidi" w:hAnsiTheme="majorBidi" w:cstheme="majorBidi"/>
        </w:rPr>
        <w:t xml:space="preserve">, UN Doc. A/HRC/28/68 (March 5, 2015), </w:t>
      </w:r>
      <w:r w:rsidRPr="006F38B8">
        <w:rPr>
          <w:rFonts w:asciiTheme="majorBidi" w:hAnsiTheme="majorBidi" w:cstheme="majorBidi"/>
        </w:rPr>
        <w:t>(hereinafter, the “</w:t>
      </w:r>
      <w:r w:rsidRPr="006F294C">
        <w:rPr>
          <w:rFonts w:ascii="Times New Roman" w:hAnsi="Times New Roman" w:cs="Times New Roman"/>
        </w:rPr>
        <w:t>Méndez</w:t>
      </w:r>
      <w:r w:rsidRPr="006F38B8">
        <w:rPr>
          <w:rFonts w:asciiTheme="majorBidi" w:hAnsiTheme="majorBidi" w:cstheme="majorBidi"/>
        </w:rPr>
        <w:t xml:space="preserve"> </w:t>
      </w:r>
      <w:r w:rsidRPr="009E1C12">
        <w:rPr>
          <w:rFonts w:asciiTheme="majorBidi" w:hAnsiTheme="majorBidi" w:cstheme="majorBidi"/>
        </w:rPr>
        <w:t>2015 Report</w:t>
      </w:r>
      <w:r w:rsidRPr="006F38B8">
        <w:rPr>
          <w:rFonts w:asciiTheme="majorBidi" w:hAnsiTheme="majorBidi" w:cstheme="majorBidi"/>
        </w:rPr>
        <w:t>”</w:t>
      </w:r>
      <w:r w:rsidRPr="009E1C12">
        <w:rPr>
          <w:rFonts w:asciiTheme="majorBidi" w:hAnsiTheme="majorBidi" w:cstheme="majorBidi"/>
        </w:rPr>
        <w:t xml:space="preserve"> or </w:t>
      </w:r>
      <w:r w:rsidRPr="006F38B8">
        <w:rPr>
          <w:rFonts w:asciiTheme="majorBidi" w:hAnsiTheme="majorBidi" w:cstheme="majorBidi"/>
        </w:rPr>
        <w:t>“</w:t>
      </w:r>
      <w:r w:rsidRPr="009E1C12">
        <w:rPr>
          <w:rFonts w:asciiTheme="majorBidi" w:hAnsiTheme="majorBidi" w:cstheme="majorBidi"/>
        </w:rPr>
        <w:t>Report on Children in Detention</w:t>
      </w:r>
      <w:r w:rsidRPr="006F38B8">
        <w:rPr>
          <w:rFonts w:asciiTheme="majorBidi" w:hAnsiTheme="majorBidi" w:cstheme="majorBidi"/>
        </w:rPr>
        <w:t>”)</w:t>
      </w:r>
      <w:r w:rsidRPr="009E1C12">
        <w:rPr>
          <w:rFonts w:asciiTheme="majorBidi" w:hAnsiTheme="majorBidi" w:cstheme="majorBidi"/>
        </w:rPr>
        <w:t>.</w:t>
      </w:r>
    </w:p>
  </w:footnote>
  <w:footnote w:id="3">
    <w:p w14:paraId="375216DA" w14:textId="7B01E1D1" w:rsidR="001A3CF6" w:rsidRPr="009E1C12" w:rsidRDefault="001A3CF6" w:rsidP="007554E9">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rPr>
        <w:t xml:space="preserve"> at</w:t>
      </w:r>
      <w:r w:rsidRPr="009E1C12">
        <w:rPr>
          <w:rFonts w:asciiTheme="majorBidi" w:hAnsiTheme="majorBidi" w:cstheme="majorBidi"/>
        </w:rPr>
        <w:t xml:space="preserve"> para.21. </w:t>
      </w:r>
    </w:p>
  </w:footnote>
  <w:footnote w:id="4">
    <w:p w14:paraId="26C61FBC" w14:textId="124115F3" w:rsidR="001A3CF6" w:rsidRPr="009E1C12" w:rsidRDefault="001A3CF6" w:rsidP="007554E9">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i/>
        </w:rPr>
        <w:t xml:space="preserve"> </w:t>
      </w:r>
      <w:r w:rsidRPr="000263E2">
        <w:rPr>
          <w:rFonts w:asciiTheme="majorBidi" w:hAnsiTheme="majorBidi" w:cstheme="majorBidi"/>
        </w:rPr>
        <w:t>at</w:t>
      </w:r>
      <w:r w:rsidRPr="009E1C12">
        <w:rPr>
          <w:rFonts w:asciiTheme="majorBidi" w:hAnsiTheme="majorBidi" w:cstheme="majorBidi"/>
          <w:i/>
        </w:rPr>
        <w:t xml:space="preserve"> </w:t>
      </w:r>
      <w:r w:rsidRPr="009E1C12">
        <w:rPr>
          <w:rFonts w:asciiTheme="majorBidi" w:hAnsiTheme="majorBidi" w:cstheme="majorBidi"/>
        </w:rPr>
        <w:t xml:space="preserve">para. 16 “Children deprived of their liberty are at a heightened risk of violence, abuse, and acts of torture or cruel, inhuman or degrading treatment or punishment.” </w:t>
      </w:r>
    </w:p>
  </w:footnote>
  <w:footnote w:id="5">
    <w:p w14:paraId="19BC4445" w14:textId="5E466F3A" w:rsidR="001A3CF6" w:rsidRPr="009E1C12" w:rsidRDefault="001A3CF6" w:rsidP="007554E9">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sidRPr="009E1C12">
        <w:rPr>
          <w:rFonts w:asciiTheme="majorBidi" w:hAnsiTheme="majorBidi" w:cstheme="majorBidi"/>
          <w:i/>
          <w:lang w:val="es-MX"/>
        </w:rPr>
        <w:t>Id.</w:t>
      </w:r>
      <w:r w:rsidRPr="009E1C12">
        <w:rPr>
          <w:rFonts w:asciiTheme="majorBidi" w:hAnsiTheme="majorBidi" w:cstheme="majorBidi"/>
          <w:lang w:val="es-MX"/>
        </w:rPr>
        <w:t xml:space="preserve">, </w:t>
      </w:r>
      <w:r>
        <w:rPr>
          <w:rFonts w:asciiTheme="majorBidi" w:hAnsiTheme="majorBidi" w:cstheme="majorBidi"/>
          <w:lang w:val="es-MX"/>
        </w:rPr>
        <w:t xml:space="preserve">at </w:t>
      </w:r>
      <w:r w:rsidRPr="009E1C12">
        <w:rPr>
          <w:rFonts w:asciiTheme="majorBidi" w:hAnsiTheme="majorBidi" w:cstheme="majorBidi"/>
          <w:lang w:val="es-MX"/>
        </w:rPr>
        <w:t>paras. 16-17.</w:t>
      </w:r>
    </w:p>
  </w:footnote>
  <w:footnote w:id="6">
    <w:p w14:paraId="6693BDCA" w14:textId="4F25E34E" w:rsidR="001A3CF6" w:rsidRPr="009E1C12" w:rsidRDefault="001A3CF6" w:rsidP="007554E9">
      <w:pPr>
        <w:pStyle w:val="FootnoteText"/>
        <w:jc w:val="both"/>
        <w:rPr>
          <w:rFonts w:asciiTheme="majorBidi" w:hAnsiTheme="majorBidi" w:cstheme="majorBidi"/>
          <w:lang w:val="es-MX"/>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sidRPr="009E1C12">
        <w:rPr>
          <w:rFonts w:asciiTheme="majorBidi" w:hAnsiTheme="majorBidi" w:cstheme="majorBidi"/>
          <w:i/>
          <w:lang w:val="es-MX"/>
        </w:rPr>
        <w:t xml:space="preserve">Id., </w:t>
      </w:r>
      <w:r>
        <w:rPr>
          <w:rFonts w:asciiTheme="majorBidi" w:hAnsiTheme="majorBidi" w:cstheme="majorBidi"/>
          <w:lang w:val="es-MX"/>
        </w:rPr>
        <w:t xml:space="preserve">at </w:t>
      </w:r>
      <w:r w:rsidRPr="009E1C12">
        <w:rPr>
          <w:rFonts w:asciiTheme="majorBidi" w:hAnsiTheme="majorBidi" w:cstheme="majorBidi"/>
          <w:lang w:val="es-MX"/>
        </w:rPr>
        <w:t>para. 85 (a).</w:t>
      </w:r>
    </w:p>
  </w:footnote>
  <w:footnote w:id="7">
    <w:p w14:paraId="1D283F36" w14:textId="54714A15" w:rsidR="001A3CF6" w:rsidRPr="009E1C12" w:rsidRDefault="001A3CF6" w:rsidP="007554E9">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Id., </w:t>
      </w:r>
      <w:r>
        <w:rPr>
          <w:rFonts w:asciiTheme="majorBidi" w:hAnsiTheme="majorBidi" w:cstheme="majorBidi"/>
        </w:rPr>
        <w:t xml:space="preserve">at </w:t>
      </w:r>
      <w:r w:rsidRPr="009E1C12">
        <w:rPr>
          <w:rFonts w:asciiTheme="majorBidi" w:hAnsiTheme="majorBidi" w:cstheme="majorBidi"/>
        </w:rPr>
        <w:t>para</w:t>
      </w:r>
      <w:r w:rsidRPr="006F38B8">
        <w:rPr>
          <w:rFonts w:asciiTheme="majorBidi" w:hAnsiTheme="majorBidi" w:cstheme="majorBidi"/>
        </w:rPr>
        <w:t>.</w:t>
      </w:r>
      <w:r w:rsidRPr="009E1C12">
        <w:rPr>
          <w:rFonts w:asciiTheme="majorBidi" w:hAnsiTheme="majorBidi" w:cstheme="majorBidi"/>
        </w:rPr>
        <w:t xml:space="preserve"> 72.</w:t>
      </w:r>
      <w:r w:rsidRPr="00373912">
        <w:rPr>
          <w:rFonts w:ascii="Times New Roman" w:hAnsi="Times New Roman" w:cs="Times New Roman"/>
          <w:sz w:val="24"/>
          <w:szCs w:val="24"/>
        </w:rPr>
        <w:t xml:space="preserve"> </w:t>
      </w:r>
      <w:r w:rsidRPr="000263E2">
        <w:rPr>
          <w:rFonts w:ascii="Times New Roman" w:hAnsi="Times New Roman" w:cs="Times New Roman"/>
          <w:sz w:val="24"/>
          <w:szCs w:val="24"/>
        </w:rPr>
        <w:t>[emphasis added]</w:t>
      </w:r>
    </w:p>
  </w:footnote>
  <w:footnote w:id="8">
    <w:p w14:paraId="1517CE05" w14:textId="65F3CB0A" w:rsidR="001A3CF6" w:rsidRPr="009E1C12" w:rsidRDefault="001A3CF6" w:rsidP="00F25F57">
      <w:pPr>
        <w:spacing w:after="0" w:line="240" w:lineRule="auto"/>
        <w:jc w:val="both"/>
        <w:rPr>
          <w:rFonts w:asciiTheme="majorBidi" w:eastAsia="Times New Roman"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w:t>
      </w:r>
      <w:r w:rsidRPr="009E1C12">
        <w:rPr>
          <w:rFonts w:asciiTheme="majorBidi" w:hAnsiTheme="majorBidi" w:cstheme="majorBidi"/>
          <w:i/>
          <w:sz w:val="20"/>
          <w:szCs w:val="20"/>
        </w:rPr>
        <w:t xml:space="preserve">See, e.g. </w:t>
      </w:r>
      <w:r w:rsidRPr="009E1C12">
        <w:rPr>
          <w:rFonts w:asciiTheme="majorBidi" w:hAnsiTheme="majorBidi" w:cstheme="majorBidi"/>
          <w:sz w:val="20"/>
          <w:szCs w:val="20"/>
        </w:rPr>
        <w:t>“The placement of a juvenile in an institution shall always be the disposition of the last resort and for the minimum necessary period,” United Nations Standard Minimum Rules for the Administration of Juvenile Justice (</w:t>
      </w:r>
      <w:r>
        <w:rPr>
          <w:rFonts w:asciiTheme="majorBidi" w:hAnsiTheme="majorBidi" w:cstheme="majorBidi"/>
          <w:sz w:val="20"/>
          <w:szCs w:val="20"/>
        </w:rPr>
        <w:t>hereinafter t</w:t>
      </w:r>
      <w:r w:rsidRPr="009E1C12">
        <w:rPr>
          <w:rFonts w:asciiTheme="majorBidi" w:hAnsiTheme="majorBidi" w:cstheme="majorBidi"/>
          <w:sz w:val="20"/>
          <w:szCs w:val="20"/>
        </w:rPr>
        <w:t>he “Beijing Rules”), GA Res. 40/33 UN Doc. A/40/53 (Nov. 29, 1985), section 19.1. The Beijing Rules only apply to juvenile justice detention and would not apply to placement for health or social reasons.</w:t>
      </w:r>
    </w:p>
  </w:footnote>
  <w:footnote w:id="9">
    <w:p w14:paraId="0FFF10A7" w14:textId="77777777" w:rsidR="001A3CF6" w:rsidRPr="009E1C12" w:rsidRDefault="001A3CF6" w:rsidP="0041391C">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UN Committee on the Rights of the Child, General Comment No.</w:t>
      </w:r>
      <w:r>
        <w:rPr>
          <w:rFonts w:asciiTheme="majorBidi" w:hAnsiTheme="majorBidi" w:cstheme="majorBidi"/>
        </w:rPr>
        <w:t xml:space="preserve"> </w:t>
      </w:r>
      <w:r w:rsidRPr="009E1C12">
        <w:rPr>
          <w:rFonts w:asciiTheme="majorBidi" w:hAnsiTheme="majorBidi" w:cstheme="majorBidi"/>
        </w:rPr>
        <w:t>9 (2006): The rights of children with disabilities, February 27, 2007, CRC/C/GC/9, para.47</w:t>
      </w:r>
      <w:r>
        <w:rPr>
          <w:rFonts w:asciiTheme="majorBidi" w:hAnsiTheme="majorBidi" w:cstheme="majorBidi"/>
        </w:rPr>
        <w:t xml:space="preserve"> [hereinafter “General Comment No. 9”]</w:t>
      </w:r>
      <w:r w:rsidRPr="009E1C12">
        <w:rPr>
          <w:rFonts w:asciiTheme="majorBidi" w:hAnsiTheme="majorBidi" w:cstheme="majorBidi"/>
        </w:rPr>
        <w:t>.</w:t>
      </w:r>
      <w:r>
        <w:rPr>
          <w:rFonts w:asciiTheme="majorBidi" w:hAnsiTheme="majorBidi" w:cstheme="majorBidi"/>
        </w:rPr>
        <w:t xml:space="preserve"> </w:t>
      </w:r>
    </w:p>
  </w:footnote>
  <w:footnote w:id="10">
    <w:p w14:paraId="70BE0F9E" w14:textId="3E887210" w:rsidR="001A3CF6" w:rsidRPr="002010EE" w:rsidRDefault="001A3CF6" w:rsidP="005B5184">
      <w:pPr>
        <w:pStyle w:val="FootnoteText"/>
        <w:rPr>
          <w:rFonts w:ascii="Times New Roman" w:hAnsi="Times New Roman" w:cs="Times New Roman"/>
        </w:rPr>
      </w:pPr>
      <w:r>
        <w:rPr>
          <w:rStyle w:val="FootnoteReference"/>
        </w:rPr>
        <w:footnoteRef/>
      </w:r>
      <w:r>
        <w:t xml:space="preserve"> </w:t>
      </w:r>
      <w:r w:rsidRPr="00CD5960">
        <w:rPr>
          <w:rFonts w:ascii="Times New Roman" w:hAnsi="Times New Roman" w:cs="Times New Roman"/>
        </w:rPr>
        <w:t>UN General Assembly,</w:t>
      </w:r>
      <w:r>
        <w:t xml:space="preserve"> </w:t>
      </w:r>
      <w:r w:rsidRPr="0041391C">
        <w:rPr>
          <w:rFonts w:ascii="Times New Roman" w:hAnsi="Times New Roman" w:cs="Times New Roman"/>
        </w:rPr>
        <w:t>Convention on the Rights of the Child, G.A. Res. 44/25, UN GAOR, 44</w:t>
      </w:r>
      <w:r w:rsidRPr="0041391C">
        <w:rPr>
          <w:rFonts w:ascii="Times New Roman" w:hAnsi="Times New Roman" w:cs="Times New Roman"/>
          <w:vertAlign w:val="superscript"/>
        </w:rPr>
        <w:t>th</w:t>
      </w:r>
      <w:r w:rsidRPr="0041391C">
        <w:rPr>
          <w:rFonts w:ascii="Times New Roman" w:hAnsi="Times New Roman" w:cs="Times New Roman"/>
        </w:rPr>
        <w:t xml:space="preserve"> Sess., Supp. No.49, at 166, UN Doc.A/44/25 (1989). Enter</w:t>
      </w:r>
      <w:r>
        <w:rPr>
          <w:rFonts w:ascii="Times New Roman" w:hAnsi="Times New Roman" w:cs="Times New Roman"/>
        </w:rPr>
        <w:t xml:space="preserve">ed into force September 2, 1990 [hereinafter “CRC”].  </w:t>
      </w:r>
    </w:p>
  </w:footnote>
  <w:footnote w:id="11">
    <w:p w14:paraId="0204921A" w14:textId="77777777" w:rsidR="001A3CF6" w:rsidRPr="009E1C12" w:rsidRDefault="001A3CF6" w:rsidP="007E0BE9">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UN General Assembly, </w:t>
      </w:r>
      <w:r w:rsidRPr="006F38B8">
        <w:rPr>
          <w:rFonts w:asciiTheme="majorBidi" w:hAnsiTheme="majorBidi" w:cstheme="majorBidi"/>
        </w:rPr>
        <w:t xml:space="preserve">Convention Against Torture and Other Forms of Cruel, Inhuman or Degrading Treatment or Punishment, GA Res. 39/46, UN. Doc. A/RES/29/46 (June 26, 1987) </w:t>
      </w:r>
      <w:r>
        <w:rPr>
          <w:rFonts w:asciiTheme="majorBidi" w:hAnsiTheme="majorBidi" w:cstheme="majorBidi"/>
        </w:rPr>
        <w:t>[</w:t>
      </w:r>
      <w:r w:rsidRPr="006F38B8">
        <w:rPr>
          <w:rFonts w:asciiTheme="majorBidi" w:hAnsiTheme="majorBidi" w:cstheme="majorBidi"/>
        </w:rPr>
        <w:t>hereinafter “CAT”</w:t>
      </w:r>
      <w:r>
        <w:rPr>
          <w:rFonts w:asciiTheme="majorBidi" w:hAnsiTheme="majorBidi" w:cstheme="majorBidi"/>
        </w:rPr>
        <w:t>]</w:t>
      </w:r>
      <w:r w:rsidRPr="006F38B8">
        <w:rPr>
          <w:rFonts w:asciiTheme="majorBidi" w:hAnsiTheme="majorBidi" w:cstheme="majorBidi"/>
        </w:rPr>
        <w:t>.</w:t>
      </w:r>
    </w:p>
  </w:footnote>
  <w:footnote w:id="12">
    <w:p w14:paraId="6E6B0B46" w14:textId="77777777" w:rsidR="001A3CF6" w:rsidRPr="009E1C12" w:rsidRDefault="001A3CF6" w:rsidP="007E0BE9">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UN General Assembly, Convention on the Rights of Persons with Disabilities, GA Res. 61/106, UN Doc</w:t>
      </w:r>
      <w:r w:rsidRPr="006F38B8">
        <w:rPr>
          <w:rFonts w:asciiTheme="majorBidi" w:hAnsiTheme="majorBidi" w:cstheme="majorBidi"/>
        </w:rPr>
        <w:t>.</w:t>
      </w:r>
      <w:r w:rsidRPr="009E1C12">
        <w:rPr>
          <w:rFonts w:asciiTheme="majorBidi" w:hAnsiTheme="majorBidi" w:cstheme="majorBidi"/>
        </w:rPr>
        <w:t xml:space="preserve"> A/RES/61/106 (Jan. 24, 2007)</w:t>
      </w:r>
      <w:r>
        <w:rPr>
          <w:rFonts w:asciiTheme="majorBidi" w:hAnsiTheme="majorBidi" w:cstheme="majorBidi"/>
        </w:rPr>
        <w:t xml:space="preserve"> [hereinafter “CRPD”]</w:t>
      </w:r>
      <w:r w:rsidRPr="009E1C12">
        <w:rPr>
          <w:rFonts w:asciiTheme="majorBidi" w:hAnsiTheme="majorBidi" w:cstheme="majorBidi"/>
        </w:rPr>
        <w:t xml:space="preserve">. </w:t>
      </w:r>
    </w:p>
  </w:footnote>
  <w:footnote w:id="13">
    <w:p w14:paraId="1B9C6017" w14:textId="7D4BFF1F" w:rsidR="001A3CF6" w:rsidRPr="00456F7B" w:rsidRDefault="001A3CF6" w:rsidP="007E0BE9">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Id., Article 19, recognizes the “right of all persons with disabilities to live in the community, with choices equal to others…”.  CRPD, Article 23, recognizes the right of children to grow up with a family and not be separated on the basis of disability.</w:t>
      </w:r>
      <w:r>
        <w:rPr>
          <w:rFonts w:asciiTheme="majorBidi" w:hAnsiTheme="majorBidi" w:cstheme="majorBidi"/>
        </w:rPr>
        <w:t xml:space="preserve">  The failure of governments to create community-based supports and family protections puts all children at risk, whether or not they have a disability.  Thus, as this article will describe, the protections established by the CRPD have implications for </w:t>
      </w:r>
      <w:r>
        <w:rPr>
          <w:rFonts w:asciiTheme="majorBidi" w:hAnsiTheme="majorBidi" w:cstheme="majorBidi"/>
          <w:i/>
        </w:rPr>
        <w:t>all</w:t>
      </w:r>
      <w:r>
        <w:rPr>
          <w:rFonts w:asciiTheme="majorBidi" w:hAnsiTheme="majorBidi" w:cstheme="majorBidi"/>
        </w:rPr>
        <w:t xml:space="preserve"> children, whether or not they have a disability.  </w:t>
      </w:r>
      <w:r>
        <w:rPr>
          <w:rFonts w:asciiTheme="majorBidi" w:hAnsiTheme="majorBidi" w:cstheme="majorBidi"/>
          <w:i/>
        </w:rPr>
        <w:t xml:space="preserve">See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_Ref345281736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127</w:t>
      </w:r>
      <w:r>
        <w:rPr>
          <w:rFonts w:asciiTheme="majorBidi" w:hAnsiTheme="majorBidi" w:cstheme="majorBidi"/>
        </w:rPr>
        <w:fldChar w:fldCharType="end"/>
      </w:r>
      <w:r>
        <w:rPr>
          <w:rFonts w:asciiTheme="majorBidi" w:hAnsiTheme="majorBidi" w:cstheme="majorBidi"/>
        </w:rPr>
        <w:t xml:space="preserve"> and accompanying analysis.</w:t>
      </w:r>
    </w:p>
  </w:footnote>
  <w:footnote w:id="14">
    <w:p w14:paraId="26444F45" w14:textId="5AE6E1BF" w:rsidR="001A3CF6" w:rsidRPr="009E1C12" w:rsidRDefault="001A3CF6" w:rsidP="0082576C">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Dinah L. Shelton, Soft Law in</w:t>
      </w:r>
      <w:r w:rsidRPr="009E1C12">
        <w:rPr>
          <w:rFonts w:asciiTheme="majorBidi" w:eastAsia="Cambria" w:hAnsiTheme="majorBidi" w:cstheme="majorBidi"/>
          <w:smallCaps/>
        </w:rPr>
        <w:t xml:space="preserve"> Handbook of International Law</w:t>
      </w:r>
      <w:r w:rsidRPr="009E1C12">
        <w:rPr>
          <w:rFonts w:asciiTheme="majorBidi" w:hAnsiTheme="majorBidi" w:cstheme="majorBidi"/>
        </w:rPr>
        <w:t xml:space="preserve"> (Routledge Press, 2008), 6. The standards and recommendations of the Special Rapporteur on Torture often become enforceable law when used by international and regional enforcement bodies, Association for the Prevention of Torture (APT) &amp; Ctr. for Justice &amp; Int'l Law (CEJIL),</w:t>
      </w:r>
      <w:r w:rsidRPr="009E1C12">
        <w:rPr>
          <w:rFonts w:asciiTheme="majorBidi" w:eastAsia="Times New Roman" w:hAnsiTheme="majorBidi" w:cstheme="majorBidi"/>
          <w:smallCaps/>
          <w:color w:val="000000"/>
        </w:rPr>
        <w:t xml:space="preserve"> Torture in International Law: A Guide to Jurisprudence (</w:t>
      </w:r>
      <w:r w:rsidRPr="009E1C12">
        <w:rPr>
          <w:rFonts w:asciiTheme="majorBidi" w:hAnsiTheme="majorBidi" w:cstheme="majorBidi"/>
        </w:rPr>
        <w:t>hereinafter, “APT &amp; CEJIL, 2008”)</w:t>
      </w:r>
      <w:r w:rsidRPr="009E1C12">
        <w:rPr>
          <w:rFonts w:asciiTheme="majorBidi" w:eastAsia="Times New Roman" w:hAnsiTheme="majorBidi" w:cstheme="majorBidi"/>
          <w:smallCaps/>
          <w:color w:val="000000"/>
        </w:rPr>
        <w:t xml:space="preserve"> </w:t>
      </w:r>
      <w:r w:rsidRPr="009E1C12">
        <w:rPr>
          <w:rFonts w:asciiTheme="majorBidi" w:hAnsiTheme="majorBidi" w:cstheme="majorBidi"/>
        </w:rPr>
        <w:t>at 3.</w:t>
      </w:r>
    </w:p>
  </w:footnote>
  <w:footnote w:id="15">
    <w:p w14:paraId="4BD9CDAC" w14:textId="5DB705B8" w:rsidR="001A3CF6" w:rsidRPr="009E1C12" w:rsidRDefault="001A3CF6" w:rsidP="002D3207">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Sylvie Bukhari-de Pontual, </w:t>
      </w:r>
      <w:r w:rsidRPr="009E1C12">
        <w:rPr>
          <w:rFonts w:asciiTheme="majorBidi" w:hAnsiTheme="majorBidi" w:cstheme="majorBidi"/>
          <w:i/>
          <w:iCs/>
        </w:rPr>
        <w:t>Assessment of the Effectiveness of UN Mechanisms for the Prevention and Fight Against Torture</w:t>
      </w:r>
      <w:r w:rsidRPr="009E1C12">
        <w:rPr>
          <w:rFonts w:asciiTheme="majorBidi" w:hAnsiTheme="majorBidi" w:cstheme="majorBidi"/>
        </w:rPr>
        <w:t xml:space="preserve">, 322 </w:t>
      </w:r>
      <w:r w:rsidRPr="009E1C12">
        <w:rPr>
          <w:rFonts w:asciiTheme="majorBidi" w:hAnsiTheme="majorBidi" w:cstheme="majorBidi"/>
          <w:i/>
        </w:rPr>
        <w:t xml:space="preserve">in </w:t>
      </w:r>
      <w:r w:rsidRPr="009E1C12">
        <w:rPr>
          <w:rFonts w:asciiTheme="majorBidi" w:hAnsiTheme="majorBidi" w:cstheme="majorBidi"/>
          <w:smallCaps/>
        </w:rPr>
        <w:t xml:space="preserve">A World of Torture: ACAT-France 2011 </w:t>
      </w:r>
      <w:r w:rsidRPr="009E1C12">
        <w:rPr>
          <w:rFonts w:asciiTheme="majorBidi" w:hAnsiTheme="majorBidi" w:cstheme="majorBidi"/>
        </w:rPr>
        <w:t xml:space="preserve">Report (Action by Christians for the Abolition of Torture, 2011). The role of the Special Rapporteur was originally created in 1985 by the UN Commission on Human Rights, and its mandate has been extended under the UN Human Rights Council.  The mandate of the United Nations to the UN Special Rapporteur on Torture is described at: Special Rapporteur on torture and other cruel, inhuman or degrading treatment or punishment </w:t>
      </w:r>
      <w:hyperlink r:id="rId2" w:history="1">
        <w:r w:rsidRPr="009E1C12">
          <w:rPr>
            <w:rStyle w:val="Hyperlink"/>
            <w:rFonts w:asciiTheme="majorBidi" w:hAnsiTheme="majorBidi" w:cstheme="majorBidi"/>
          </w:rPr>
          <w:t>http://www.ohchr.org/EN/Issues/Torture/SRTorture/Pages/SRTortureIndex.aspx</w:t>
        </w:r>
      </w:hyperlink>
      <w:r w:rsidRPr="009E1C12">
        <w:rPr>
          <w:rStyle w:val="Hyperlink"/>
          <w:rFonts w:asciiTheme="majorBidi" w:hAnsiTheme="majorBidi" w:cstheme="majorBidi"/>
        </w:rPr>
        <w:t xml:space="preserve"> (last visited Nov. 16, 2016).</w:t>
      </w:r>
    </w:p>
  </w:footnote>
  <w:footnote w:id="16">
    <w:p w14:paraId="6C20277A" w14:textId="5A09B6E2" w:rsidR="001A3CF6" w:rsidRPr="001872B3" w:rsidRDefault="001A3CF6" w:rsidP="00C22C8D">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 xml:space="preserve">For a description of the worldwide problem, </w:t>
      </w:r>
      <w:r>
        <w:rPr>
          <w:rFonts w:asciiTheme="majorBidi" w:hAnsiTheme="majorBidi" w:cstheme="majorBidi"/>
          <w:i/>
        </w:rPr>
        <w:t>s</w:t>
      </w:r>
      <w:r w:rsidRPr="009E1C12">
        <w:rPr>
          <w:rFonts w:asciiTheme="majorBidi" w:hAnsiTheme="majorBidi" w:cstheme="majorBidi"/>
          <w:i/>
        </w:rPr>
        <w:t>ee</w:t>
      </w:r>
      <w:r>
        <w:rPr>
          <w:rFonts w:asciiTheme="majorBidi" w:hAnsiTheme="majorBidi" w:cstheme="majorBidi"/>
          <w:i/>
        </w:rPr>
        <w:t xml:space="preserve"> </w:t>
      </w:r>
      <w:r w:rsidRPr="009E1C12">
        <w:rPr>
          <w:rFonts w:asciiTheme="majorBidi" w:hAnsiTheme="majorBidi" w:cstheme="majorBidi"/>
          <w:i/>
        </w:rPr>
        <w:t xml:space="preserve">e.g. </w:t>
      </w:r>
      <w:r w:rsidRPr="009E1C12">
        <w:rPr>
          <w:rFonts w:asciiTheme="majorBidi" w:hAnsiTheme="majorBidi" w:cstheme="majorBidi"/>
        </w:rPr>
        <w:t xml:space="preserve">Eric Rosenthal and Laurie Ahern, </w:t>
      </w:r>
      <w:r w:rsidRPr="009E1C12">
        <w:rPr>
          <w:rFonts w:asciiTheme="majorBidi" w:hAnsiTheme="majorBidi" w:cstheme="majorBidi"/>
          <w:i/>
          <w:iCs/>
        </w:rPr>
        <w:t>Segregation of children worldwide: the human rights imperative to end institutionalization</w:t>
      </w:r>
      <w:r w:rsidRPr="009E1C12">
        <w:rPr>
          <w:rFonts w:asciiTheme="majorBidi" w:hAnsiTheme="majorBidi" w:cstheme="majorBidi"/>
        </w:rPr>
        <w:t xml:space="preserve">, 12 </w:t>
      </w:r>
      <w:r w:rsidRPr="009E1C12">
        <w:rPr>
          <w:rFonts w:asciiTheme="majorBidi" w:hAnsiTheme="majorBidi" w:cstheme="majorBidi"/>
          <w:smallCaps/>
        </w:rPr>
        <w:t>Journal of Public Mental Health</w:t>
      </w:r>
      <w:r w:rsidRPr="009E1C12">
        <w:rPr>
          <w:rFonts w:asciiTheme="majorBidi" w:hAnsiTheme="majorBidi" w:cstheme="majorBidi"/>
        </w:rPr>
        <w:t xml:space="preserve"> 193, 197 (2013)</w:t>
      </w:r>
      <w:r>
        <w:rPr>
          <w:rFonts w:asciiTheme="majorBidi" w:hAnsiTheme="majorBidi" w:cstheme="majorBidi"/>
        </w:rPr>
        <w:t>;</w:t>
      </w:r>
      <w:r>
        <w:rPr>
          <w:rFonts w:asciiTheme="majorBidi" w:hAnsiTheme="majorBidi" w:cstheme="majorBidi"/>
          <w:i/>
        </w:rPr>
        <w:t xml:space="preserve">  </w:t>
      </w:r>
      <w:r w:rsidRPr="009E1C12">
        <w:rPr>
          <w:rFonts w:asciiTheme="majorBidi" w:hAnsiTheme="majorBidi" w:cstheme="majorBidi"/>
        </w:rPr>
        <w:t xml:space="preserve">Laurie Ahern, </w:t>
      </w:r>
      <w:r w:rsidRPr="009E1C12">
        <w:rPr>
          <w:rFonts w:asciiTheme="majorBidi" w:hAnsiTheme="majorBidi" w:cstheme="majorBidi"/>
          <w:i/>
          <w:iCs/>
        </w:rPr>
        <w:t>Orphanages are no place for children,</w:t>
      </w:r>
      <w:r w:rsidRPr="009E1C12">
        <w:rPr>
          <w:rFonts w:asciiTheme="majorBidi" w:hAnsiTheme="majorBidi" w:cstheme="majorBidi"/>
        </w:rPr>
        <w:t xml:space="preserve"> </w:t>
      </w:r>
      <w:r w:rsidRPr="009E1C12">
        <w:rPr>
          <w:rFonts w:asciiTheme="majorBidi" w:hAnsiTheme="majorBidi" w:cstheme="majorBidi"/>
          <w:smallCaps/>
        </w:rPr>
        <w:t>The Washington Post</w:t>
      </w:r>
      <w:r w:rsidRPr="009E1C12">
        <w:rPr>
          <w:rFonts w:asciiTheme="majorBidi" w:hAnsiTheme="majorBidi" w:cstheme="majorBidi"/>
        </w:rPr>
        <w:t xml:space="preserve">, (August 9, 2013) </w:t>
      </w:r>
      <w:hyperlink r:id="rId3" w:history="1">
        <w:r w:rsidRPr="009E1C12">
          <w:rPr>
            <w:rStyle w:val="Hyperlink"/>
            <w:rFonts w:asciiTheme="majorBidi" w:hAnsiTheme="majorBidi" w:cstheme="majorBidi"/>
          </w:rPr>
          <w:t>https://www.washingtonpost.com/opinions/orphanages-are-no-place-for-children/2013/08/09/6d502fb0-fadd-11e2-a369-d1954abcb7e3_story.html?tid=a_inl&amp;utm_term=.36be4696d04f</w:t>
        </w:r>
      </w:hyperlink>
      <w:r w:rsidRPr="009E1C12">
        <w:rPr>
          <w:rFonts w:asciiTheme="majorBidi" w:hAnsiTheme="majorBidi" w:cstheme="majorBidi"/>
        </w:rPr>
        <w:t xml:space="preserve"> </w:t>
      </w:r>
      <w:r w:rsidRPr="009E1C12">
        <w:rPr>
          <w:rStyle w:val="Hyperlink"/>
          <w:rFonts w:asciiTheme="majorBidi" w:hAnsiTheme="majorBidi" w:cstheme="majorBidi"/>
        </w:rPr>
        <w:t>(last visited Nov. 16, 2016)</w:t>
      </w:r>
      <w:r w:rsidRPr="009E1C12">
        <w:rPr>
          <w:rFonts w:asciiTheme="majorBidi" w:hAnsiTheme="majorBidi" w:cstheme="majorBidi"/>
        </w:rPr>
        <w:t xml:space="preserve">; Laurie Ahern, Donors Need to Support Vulnerable Families Not Rebuild Nepalese Orphanages, </w:t>
      </w:r>
      <w:r w:rsidRPr="009E1C12">
        <w:rPr>
          <w:rFonts w:asciiTheme="majorBidi" w:hAnsiTheme="majorBidi" w:cstheme="majorBidi"/>
          <w:smallCaps/>
        </w:rPr>
        <w:t>The Huffington Post</w:t>
      </w:r>
      <w:r w:rsidRPr="009E1C12">
        <w:rPr>
          <w:rFonts w:asciiTheme="majorBidi" w:hAnsiTheme="majorBidi" w:cstheme="majorBidi"/>
        </w:rPr>
        <w:t xml:space="preserve">, May 22, 2016, </w:t>
      </w:r>
      <w:hyperlink r:id="rId4" w:history="1">
        <w:r w:rsidRPr="009E1C12">
          <w:rPr>
            <w:rStyle w:val="Hyperlink"/>
            <w:rFonts w:asciiTheme="majorBidi" w:hAnsiTheme="majorBidi" w:cstheme="majorBidi"/>
          </w:rPr>
          <w:t>http://www.huffingtonpost.com/laurie-ahern/donors-need-to-support-vulnerable-families_b_7422618.html</w:t>
        </w:r>
      </w:hyperlink>
      <w:r w:rsidRPr="009E1C12">
        <w:rPr>
          <w:rFonts w:asciiTheme="majorBidi" w:hAnsiTheme="majorBidi" w:cstheme="majorBidi"/>
        </w:rPr>
        <w:t xml:space="preserve"> </w:t>
      </w:r>
      <w:r w:rsidRPr="009E1C12">
        <w:rPr>
          <w:rStyle w:val="Hyperlink"/>
          <w:rFonts w:asciiTheme="majorBidi" w:hAnsiTheme="majorBidi" w:cstheme="majorBidi"/>
        </w:rPr>
        <w:t xml:space="preserve">(last visited Nov. 16, 2016); </w:t>
      </w:r>
      <w:r w:rsidRPr="009E1C12">
        <w:rPr>
          <w:rFonts w:asciiTheme="majorBidi" w:hAnsiTheme="majorBidi" w:cstheme="majorBidi"/>
        </w:rPr>
        <w:t xml:space="preserve">Laurie Ahern, Ukraine Orphanages Feeder for Child Trafficking, </w:t>
      </w:r>
      <w:r w:rsidRPr="009E1C12">
        <w:rPr>
          <w:rFonts w:asciiTheme="majorBidi" w:hAnsiTheme="majorBidi" w:cstheme="majorBidi"/>
          <w:smallCaps/>
        </w:rPr>
        <w:t>The</w:t>
      </w:r>
      <w:r w:rsidRPr="009E1C12">
        <w:rPr>
          <w:rFonts w:asciiTheme="majorBidi" w:hAnsiTheme="majorBidi" w:cstheme="majorBidi"/>
        </w:rPr>
        <w:t xml:space="preserve"> </w:t>
      </w:r>
      <w:r w:rsidRPr="009E1C12">
        <w:rPr>
          <w:rFonts w:asciiTheme="majorBidi" w:hAnsiTheme="majorBidi" w:cstheme="majorBidi"/>
          <w:smallCaps/>
        </w:rPr>
        <w:t>Huffington Post</w:t>
      </w:r>
      <w:r w:rsidRPr="009E1C12">
        <w:rPr>
          <w:rFonts w:asciiTheme="majorBidi" w:hAnsiTheme="majorBidi" w:cstheme="majorBidi"/>
        </w:rPr>
        <w:t xml:space="preserve"> (June 2, 2016), </w:t>
      </w:r>
      <w:hyperlink r:id="rId5" w:history="1">
        <w:r w:rsidRPr="009E1C12">
          <w:rPr>
            <w:rStyle w:val="Hyperlink"/>
            <w:rFonts w:asciiTheme="majorBidi" w:hAnsiTheme="majorBidi" w:cstheme="majorBidi"/>
          </w:rPr>
          <w:t>http://www.huffingtonpost.com/laurie-ahern/ukraine-orphanages-feeder_b_7344882.html</w:t>
        </w:r>
      </w:hyperlink>
      <w:r w:rsidRPr="009E1C12">
        <w:rPr>
          <w:rFonts w:asciiTheme="majorBidi" w:hAnsiTheme="majorBidi" w:cstheme="majorBidi"/>
        </w:rPr>
        <w:t xml:space="preserve"> </w:t>
      </w:r>
      <w:r>
        <w:rPr>
          <w:rStyle w:val="Hyperlink"/>
          <w:rFonts w:asciiTheme="majorBidi" w:hAnsiTheme="majorBidi" w:cstheme="majorBidi"/>
        </w:rPr>
        <w:t>(last visited Nov. 16, 2016).</w:t>
      </w:r>
      <w:r w:rsidRPr="000A0084">
        <w:rPr>
          <w:rFonts w:asciiTheme="majorBidi" w:hAnsiTheme="majorBidi" w:cstheme="majorBidi"/>
        </w:rPr>
        <w:t xml:space="preserve"> </w:t>
      </w:r>
      <w:r>
        <w:rPr>
          <w:rFonts w:asciiTheme="majorBidi" w:hAnsiTheme="majorBidi" w:cstheme="majorBidi"/>
        </w:rPr>
        <w:t xml:space="preserve">For further discussion of international support for orphanages, see notes </w:t>
      </w:r>
      <w:r>
        <w:rPr>
          <w:rFonts w:asciiTheme="majorBidi" w:hAnsiTheme="majorBidi" w:cstheme="majorBidi"/>
        </w:rPr>
        <w:fldChar w:fldCharType="begin"/>
      </w:r>
      <w:r>
        <w:rPr>
          <w:rFonts w:asciiTheme="majorBidi" w:hAnsiTheme="majorBidi" w:cstheme="majorBidi"/>
        </w:rPr>
        <w:instrText xml:space="preserve"> NOTEREF _Ref336856428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48</w:t>
      </w:r>
      <w:r>
        <w:rPr>
          <w:rFonts w:asciiTheme="majorBidi" w:hAnsiTheme="majorBidi" w:cstheme="majorBidi"/>
        </w:rPr>
        <w:fldChar w:fldCharType="end"/>
      </w:r>
      <w:r>
        <w:rPr>
          <w:rFonts w:asciiTheme="majorBidi" w:hAnsiTheme="majorBidi" w:cstheme="majorBidi"/>
        </w:rPr>
        <w:t xml:space="preserve"> to </w:t>
      </w:r>
      <w:r>
        <w:rPr>
          <w:rFonts w:asciiTheme="majorBidi" w:hAnsiTheme="majorBidi" w:cstheme="majorBidi"/>
        </w:rPr>
        <w:fldChar w:fldCharType="begin"/>
      </w:r>
      <w:r>
        <w:rPr>
          <w:rFonts w:asciiTheme="majorBidi" w:hAnsiTheme="majorBidi" w:cstheme="majorBidi"/>
        </w:rPr>
        <w:instrText xml:space="preserve"> NOTEREF _Ref471310378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50</w:t>
      </w:r>
      <w:r>
        <w:rPr>
          <w:rFonts w:asciiTheme="majorBidi" w:hAnsiTheme="majorBidi" w:cstheme="majorBidi"/>
        </w:rPr>
        <w:fldChar w:fldCharType="end"/>
      </w:r>
      <w:r>
        <w:rPr>
          <w:rFonts w:asciiTheme="majorBidi" w:hAnsiTheme="majorBidi" w:cstheme="majorBidi"/>
        </w:rPr>
        <w:t xml:space="preserve"> </w:t>
      </w:r>
      <w:r>
        <w:rPr>
          <w:rFonts w:asciiTheme="majorBidi" w:hAnsiTheme="majorBidi" w:cstheme="majorBidi"/>
          <w:i/>
        </w:rPr>
        <w:t xml:space="preserve">infra </w:t>
      </w:r>
      <w:r>
        <w:rPr>
          <w:rFonts w:asciiTheme="majorBidi" w:hAnsiTheme="majorBidi" w:cstheme="majorBidi"/>
        </w:rPr>
        <w:t>and accompanying text.</w:t>
      </w:r>
    </w:p>
  </w:footnote>
  <w:footnote w:id="17">
    <w:p w14:paraId="54CB0A2E" w14:textId="286A8E7A" w:rsidR="001A3CF6" w:rsidRPr="009E1C12" w:rsidRDefault="001A3CF6" w:rsidP="006F2A03">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Child Welfare Information Gateway, Children’s Bureau/ACYF, D</w:t>
      </w:r>
      <w:r w:rsidRPr="009E1C12">
        <w:rPr>
          <w:rFonts w:asciiTheme="majorBidi" w:hAnsiTheme="majorBidi" w:cstheme="majorBidi"/>
          <w:smallCaps/>
        </w:rPr>
        <w:t>etermining the Best Interests of the Child</w:t>
      </w:r>
      <w:r w:rsidRPr="009E1C12">
        <w:rPr>
          <w:rFonts w:asciiTheme="majorBidi" w:hAnsiTheme="majorBidi" w:cstheme="majorBidi"/>
        </w:rPr>
        <w:t xml:space="preserve">, (Child Welfare Information Gateway, 2012), 2-5.  </w:t>
      </w:r>
      <w:r w:rsidRPr="009E1C12">
        <w:rPr>
          <w:rFonts w:asciiTheme="majorBidi" w:hAnsiTheme="majorBidi" w:cstheme="majorBidi"/>
          <w:i/>
        </w:rPr>
        <w:t xml:space="preserve">See </w:t>
      </w:r>
      <w:r w:rsidRPr="009E1C12">
        <w:rPr>
          <w:rFonts w:asciiTheme="majorBidi" w:hAnsiTheme="majorBidi" w:cstheme="majorBidi"/>
        </w:rPr>
        <w:t xml:space="preserve">further discussion in Section IV-B </w:t>
      </w:r>
      <w:r w:rsidRPr="009E1C12">
        <w:rPr>
          <w:rFonts w:asciiTheme="majorBidi" w:hAnsiTheme="majorBidi" w:cstheme="majorBidi"/>
          <w:i/>
        </w:rPr>
        <w:t>infra.</w:t>
      </w:r>
    </w:p>
  </w:footnote>
  <w:footnote w:id="18">
    <w:p w14:paraId="7081D08B" w14:textId="32DF9D34" w:rsidR="001A3CF6" w:rsidRPr="009E1C12" w:rsidRDefault="001A3CF6" w:rsidP="00A87C96">
      <w:pPr>
        <w:spacing w:after="0"/>
        <w:rPr>
          <w:rFonts w:asciiTheme="majorBidi" w:hAnsiTheme="majorBidi" w:cstheme="majorBidi"/>
          <w: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i/>
          <w:sz w:val="20"/>
          <w:szCs w:val="20"/>
        </w:rPr>
        <w:t xml:space="preserve"> </w:t>
      </w:r>
      <w:r w:rsidRPr="009E1C12">
        <w:rPr>
          <w:rFonts w:asciiTheme="majorBidi" w:hAnsiTheme="majorBidi" w:cstheme="majorBidi"/>
          <w:sz w:val="20"/>
          <w:szCs w:val="20"/>
        </w:rPr>
        <w:t xml:space="preserve">Nigel Cantwell, Jennifer Davidson, Susan Elsley, Ian Mulligan, and Neill Quinn, </w:t>
      </w:r>
      <w:r w:rsidRPr="009E1C12">
        <w:rPr>
          <w:rFonts w:asciiTheme="majorBidi" w:hAnsiTheme="majorBidi" w:cstheme="majorBidi"/>
          <w:smallCaps/>
          <w:sz w:val="20"/>
          <w:szCs w:val="20"/>
        </w:rPr>
        <w:t>Moving Forward: Implementing the ‘Guidelines for the Alternative Care of Children</w:t>
      </w:r>
      <w:r w:rsidRPr="009E1C12">
        <w:rPr>
          <w:rFonts w:asciiTheme="majorBidi" w:hAnsiTheme="majorBidi" w:cstheme="majorBidi"/>
          <w:i/>
          <w:sz w:val="20"/>
          <w:szCs w:val="20"/>
        </w:rPr>
        <w:t xml:space="preserve"> </w:t>
      </w:r>
      <w:r w:rsidRPr="009E1C12">
        <w:rPr>
          <w:rFonts w:asciiTheme="majorBidi" w:hAnsiTheme="majorBidi" w:cstheme="majorBidi"/>
          <w:sz w:val="20"/>
          <w:szCs w:val="20"/>
        </w:rPr>
        <w:t>43 (</w:t>
      </w:r>
      <w:r w:rsidRPr="006F38B8">
        <w:rPr>
          <w:rFonts w:asciiTheme="majorBidi" w:hAnsiTheme="majorBidi" w:cstheme="majorBidi"/>
          <w:sz w:val="20"/>
          <w:szCs w:val="20"/>
        </w:rPr>
        <w:t xml:space="preserve">Centre for Excellence for Looked After Children in Scotland, </w:t>
      </w:r>
      <w:r w:rsidRPr="009E1C12">
        <w:rPr>
          <w:rFonts w:asciiTheme="majorBidi" w:hAnsiTheme="majorBidi" w:cstheme="majorBidi"/>
          <w:sz w:val="20"/>
          <w:szCs w:val="20"/>
        </w:rPr>
        <w:t>2012)</w:t>
      </w:r>
      <w:r>
        <w:rPr>
          <w:rFonts w:asciiTheme="majorBidi" w:hAnsiTheme="majorBidi" w:cstheme="majorBidi"/>
          <w:sz w:val="20"/>
          <w:szCs w:val="20"/>
        </w:rPr>
        <w:t xml:space="preserve"> [hereinafter Implementing the Guidelines].</w:t>
      </w:r>
      <w:r w:rsidRPr="009E1C12">
        <w:rPr>
          <w:rFonts w:asciiTheme="majorBidi" w:hAnsiTheme="majorBidi" w:cstheme="majorBidi"/>
          <w:sz w:val="20"/>
          <w:szCs w:val="20"/>
        </w:rPr>
        <w:t xml:space="preserve">  </w:t>
      </w:r>
      <w:r w:rsidRPr="009E1C12">
        <w:rPr>
          <w:rFonts w:asciiTheme="majorBidi" w:hAnsiTheme="majorBidi" w:cstheme="majorBidi"/>
          <w:i/>
          <w:sz w:val="20"/>
          <w:szCs w:val="20"/>
        </w:rPr>
        <w:t>See also</w:t>
      </w:r>
      <w:r w:rsidRPr="009E1C12">
        <w:rPr>
          <w:rFonts w:asciiTheme="majorBidi" w:hAnsiTheme="majorBidi" w:cstheme="majorBidi"/>
          <w:sz w:val="20"/>
          <w:szCs w:val="20"/>
        </w:rPr>
        <w:t xml:space="preserve"> Ministry for Foreign Affairs Sweden, </w:t>
      </w:r>
      <w:r w:rsidRPr="009E1C12">
        <w:rPr>
          <w:rFonts w:asciiTheme="majorBidi" w:hAnsiTheme="majorBidi" w:cstheme="majorBidi"/>
          <w:smallCaps/>
          <w:sz w:val="20"/>
          <w:szCs w:val="20"/>
        </w:rPr>
        <w:t>Children in Institutions</w:t>
      </w:r>
      <w:r w:rsidRPr="006F38B8">
        <w:rPr>
          <w:rFonts w:asciiTheme="majorBidi" w:hAnsiTheme="majorBidi" w:cstheme="majorBidi"/>
          <w:smallCaps/>
          <w:sz w:val="20"/>
          <w:szCs w:val="20"/>
        </w:rPr>
        <w:t>: International Development Cooperation</w:t>
      </w:r>
      <w:r w:rsidRPr="009E1C12">
        <w:rPr>
          <w:rFonts w:asciiTheme="majorBidi" w:hAnsiTheme="majorBidi" w:cstheme="majorBidi"/>
          <w:sz w:val="20"/>
          <w:szCs w:val="20"/>
        </w:rPr>
        <w:t xml:space="preserve">, 2001, available at </w:t>
      </w:r>
      <w:hyperlink r:id="rId6" w:history="1">
        <w:r w:rsidRPr="009E1C12">
          <w:rPr>
            <w:rStyle w:val="Hyperlink"/>
            <w:rFonts w:asciiTheme="majorBidi" w:hAnsiTheme="majorBidi" w:cstheme="majorBidi"/>
            <w:sz w:val="20"/>
            <w:szCs w:val="20"/>
          </w:rPr>
          <w:t>http://www.government.se/contentassets/42b806a7f8b046468116e4f1245428b5/children-in-institutions</w:t>
        </w:r>
      </w:hyperlink>
      <w:r w:rsidRPr="009E1C12">
        <w:rPr>
          <w:rFonts w:asciiTheme="majorBidi" w:hAnsiTheme="majorBidi" w:cstheme="majorBidi"/>
          <w:sz w:val="20"/>
          <w:szCs w:val="20"/>
        </w:rPr>
        <w:t xml:space="preserve"> (last </w:t>
      </w:r>
      <w:r w:rsidRPr="006F38B8">
        <w:rPr>
          <w:rFonts w:asciiTheme="majorBidi" w:hAnsiTheme="majorBidi" w:cstheme="majorBidi"/>
          <w:sz w:val="20"/>
          <w:szCs w:val="20"/>
        </w:rPr>
        <w:t>visited</w:t>
      </w:r>
      <w:r w:rsidRPr="009E1C12">
        <w:rPr>
          <w:rFonts w:asciiTheme="majorBidi" w:hAnsiTheme="majorBidi" w:cstheme="majorBidi"/>
          <w:sz w:val="20"/>
          <w:szCs w:val="20"/>
        </w:rPr>
        <w:t xml:space="preserve"> </w:t>
      </w:r>
      <w:r w:rsidRPr="00EF3FA4">
        <w:rPr>
          <w:rFonts w:asciiTheme="majorBidi" w:hAnsiTheme="majorBidi" w:cstheme="majorBidi"/>
          <w:sz w:val="20"/>
          <w:szCs w:val="20"/>
        </w:rPr>
        <w:t>Nov.</w:t>
      </w:r>
      <w:r w:rsidRPr="009E1C12">
        <w:rPr>
          <w:rFonts w:asciiTheme="majorBidi" w:hAnsiTheme="majorBidi" w:cstheme="majorBidi"/>
          <w:sz w:val="20"/>
          <w:szCs w:val="20"/>
        </w:rPr>
        <w:t xml:space="preserve"> </w:t>
      </w:r>
      <w:r w:rsidRPr="00EF3FA4">
        <w:rPr>
          <w:rFonts w:asciiTheme="majorBidi" w:hAnsiTheme="majorBidi" w:cstheme="majorBidi"/>
          <w:sz w:val="20"/>
          <w:szCs w:val="20"/>
        </w:rPr>
        <w:t>16</w:t>
      </w:r>
      <w:r w:rsidRPr="009E1C12">
        <w:rPr>
          <w:rFonts w:asciiTheme="majorBidi" w:hAnsiTheme="majorBidi" w:cstheme="majorBidi"/>
          <w:sz w:val="20"/>
          <w:szCs w:val="20"/>
        </w:rPr>
        <w:t xml:space="preserve">, 2016); Kerryn Pollock, </w:t>
      </w:r>
      <w:r w:rsidRPr="009E1C12">
        <w:rPr>
          <w:rFonts w:asciiTheme="majorBidi" w:hAnsiTheme="majorBidi" w:cstheme="majorBidi"/>
          <w:i/>
          <w:iCs/>
          <w:sz w:val="20"/>
          <w:szCs w:val="20"/>
        </w:rPr>
        <w:t>Children’s homes and fostering - Foster care and family homes</w:t>
      </w:r>
      <w:r w:rsidRPr="009E1C12">
        <w:rPr>
          <w:rFonts w:asciiTheme="majorBidi" w:hAnsiTheme="majorBidi" w:cstheme="majorBidi"/>
          <w:sz w:val="20"/>
          <w:szCs w:val="20"/>
        </w:rPr>
        <w:t xml:space="preserve">, </w:t>
      </w:r>
      <w:r w:rsidRPr="009E1C12">
        <w:rPr>
          <w:rFonts w:asciiTheme="majorBidi" w:hAnsiTheme="majorBidi" w:cstheme="majorBidi"/>
          <w:smallCaps/>
          <w:sz w:val="20"/>
          <w:szCs w:val="20"/>
        </w:rPr>
        <w:t>Te Ara - the Encyclopedia of New Zealand</w:t>
      </w:r>
      <w:r w:rsidRPr="009E1C12">
        <w:rPr>
          <w:rFonts w:asciiTheme="majorBidi" w:hAnsiTheme="majorBidi" w:cstheme="majorBidi"/>
          <w:sz w:val="20"/>
          <w:szCs w:val="20"/>
        </w:rPr>
        <w:t>, http://www.TeAra.govt.nz/en/childrens-homes-and-fostering/page-4 (</w:t>
      </w:r>
      <w:r w:rsidRPr="00EF3FA4">
        <w:rPr>
          <w:rFonts w:asciiTheme="majorBidi" w:hAnsiTheme="majorBidi" w:cstheme="majorBidi"/>
          <w:sz w:val="20"/>
          <w:szCs w:val="20"/>
        </w:rPr>
        <w:t>last visited</w:t>
      </w:r>
      <w:r w:rsidRPr="009E1C12">
        <w:rPr>
          <w:rFonts w:asciiTheme="majorBidi" w:hAnsiTheme="majorBidi" w:cstheme="majorBidi"/>
          <w:sz w:val="20"/>
          <w:szCs w:val="20"/>
        </w:rPr>
        <w:t xml:space="preserve"> </w:t>
      </w:r>
      <w:r w:rsidRPr="00EF3FA4">
        <w:rPr>
          <w:rFonts w:asciiTheme="majorBidi" w:hAnsiTheme="majorBidi" w:cstheme="majorBidi"/>
          <w:sz w:val="20"/>
          <w:szCs w:val="20"/>
        </w:rPr>
        <w:t>Nov.16,</w:t>
      </w:r>
      <w:r w:rsidRPr="009E1C12">
        <w:rPr>
          <w:rFonts w:asciiTheme="majorBidi" w:hAnsiTheme="majorBidi" w:cstheme="majorBidi"/>
          <w:sz w:val="20"/>
          <w:szCs w:val="20"/>
        </w:rPr>
        <w:t xml:space="preserve"> 2016).</w:t>
      </w:r>
      <w:r>
        <w:rPr>
          <w:rFonts w:asciiTheme="majorBidi" w:hAnsiTheme="majorBidi" w:cstheme="majorBidi"/>
          <w:sz w:val="20"/>
          <w:szCs w:val="20"/>
        </w:rPr>
        <w:t xml:space="preserve">  </w:t>
      </w:r>
    </w:p>
  </w:footnote>
  <w:footnote w:id="19">
    <w:p w14:paraId="1C1CF444" w14:textId="371D383C" w:rsidR="001A3CF6" w:rsidRDefault="001A3CF6">
      <w:pPr>
        <w:pStyle w:val="FootnoteText"/>
      </w:pPr>
      <w:r>
        <w:rPr>
          <w:rStyle w:val="FootnoteReference"/>
        </w:rPr>
        <w:footnoteRef/>
      </w:r>
      <w:r>
        <w:t xml:space="preserve"> </w:t>
      </w:r>
      <w:r w:rsidRPr="009E1C12">
        <w:rPr>
          <w:rFonts w:asciiTheme="majorBidi" w:hAnsiTheme="majorBidi" w:cstheme="majorBidi"/>
        </w:rPr>
        <w:t xml:space="preserve">UN General Assembly, Guidelines for the Alternative Care of Children, </w:t>
      </w:r>
      <w:r w:rsidRPr="00EF3FA4">
        <w:rPr>
          <w:rFonts w:asciiTheme="majorBidi" w:hAnsiTheme="majorBidi" w:cstheme="majorBidi"/>
        </w:rPr>
        <w:t xml:space="preserve">GA </w:t>
      </w:r>
      <w:r w:rsidRPr="009E1C12">
        <w:rPr>
          <w:rFonts w:asciiTheme="majorBidi" w:hAnsiTheme="majorBidi" w:cstheme="majorBidi"/>
        </w:rPr>
        <w:t xml:space="preserve">Res 64/142, UN </w:t>
      </w:r>
      <w:r w:rsidRPr="00EF3FA4">
        <w:rPr>
          <w:rFonts w:asciiTheme="majorBidi" w:hAnsiTheme="majorBidi" w:cstheme="majorBidi"/>
        </w:rPr>
        <w:t xml:space="preserve">Doc. </w:t>
      </w:r>
      <w:r w:rsidRPr="009E1C12">
        <w:rPr>
          <w:rFonts w:asciiTheme="majorBidi" w:hAnsiTheme="majorBidi" w:cstheme="majorBidi"/>
        </w:rPr>
        <w:t>A/RES/64/142, (February</w:t>
      </w:r>
      <w:r w:rsidRPr="00EF3FA4">
        <w:rPr>
          <w:rFonts w:asciiTheme="majorBidi" w:hAnsiTheme="majorBidi" w:cstheme="majorBidi"/>
        </w:rPr>
        <w:t xml:space="preserve"> 24,</w:t>
      </w:r>
      <w:r w:rsidRPr="009E1C12">
        <w:rPr>
          <w:rFonts w:asciiTheme="majorBidi" w:hAnsiTheme="majorBidi" w:cstheme="majorBidi"/>
        </w:rPr>
        <w:t xml:space="preserve"> 2010), para.</w:t>
      </w:r>
      <w:r w:rsidRPr="00EF3FA4">
        <w:rPr>
          <w:rFonts w:asciiTheme="majorBidi" w:hAnsiTheme="majorBidi" w:cstheme="majorBidi"/>
        </w:rPr>
        <w:t xml:space="preserve"> </w:t>
      </w:r>
      <w:r w:rsidRPr="009E1C12">
        <w:rPr>
          <w:rFonts w:asciiTheme="majorBidi" w:hAnsiTheme="majorBidi" w:cstheme="majorBidi"/>
        </w:rPr>
        <w:t xml:space="preserve">22 </w:t>
      </w:r>
      <w:r w:rsidRPr="00EF3FA4">
        <w:rPr>
          <w:rFonts w:asciiTheme="majorBidi" w:hAnsiTheme="majorBidi" w:cstheme="majorBidi"/>
        </w:rPr>
        <w:t>(</w:t>
      </w:r>
      <w:r w:rsidRPr="009E1C12">
        <w:rPr>
          <w:rFonts w:asciiTheme="majorBidi" w:hAnsiTheme="majorBidi" w:cstheme="majorBidi"/>
        </w:rPr>
        <w:t>hereinafter “Guidelines for Alternative Care” or “the Guidelines”</w:t>
      </w:r>
      <w:r w:rsidRPr="00EF3FA4">
        <w:rPr>
          <w:rFonts w:asciiTheme="majorBidi" w:hAnsiTheme="majorBidi" w:cstheme="majorBidi"/>
        </w:rPr>
        <w:t>)</w:t>
      </w:r>
      <w:r w:rsidRPr="009E1C12">
        <w:rPr>
          <w:rFonts w:asciiTheme="majorBidi" w:hAnsiTheme="majorBidi" w:cstheme="majorBidi"/>
        </w:rPr>
        <w:t>.</w:t>
      </w:r>
    </w:p>
  </w:footnote>
  <w:footnote w:id="20">
    <w:p w14:paraId="6765A97D" w14:textId="663EAD97" w:rsidR="001A3CF6" w:rsidRPr="001A3CF6" w:rsidRDefault="001A3CF6" w:rsidP="008E435B">
      <w:pPr>
        <w:spacing w:after="0"/>
        <w:rPr>
          <w:rFonts w:asciiTheme="majorBidi" w:hAnsiTheme="majorBidi" w:cstheme="majorBidi"/>
          <w: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The Guidelines state that “[r]emoval of a child from the care of a family should be seen as a measure of last resort and should be, whenever possible, temporary and for the </w:t>
      </w:r>
      <w:r w:rsidRPr="00F340DD">
        <w:rPr>
          <w:rFonts w:asciiTheme="majorBidi" w:hAnsiTheme="majorBidi" w:cstheme="majorBidi"/>
          <w:b/>
          <w:sz w:val="20"/>
          <w:szCs w:val="20"/>
        </w:rPr>
        <w:t>shortest possible duration.”</w:t>
      </w:r>
      <w:r w:rsidRPr="009E1C12">
        <w:rPr>
          <w:rFonts w:asciiTheme="majorBidi" w:hAnsiTheme="majorBidi" w:cstheme="majorBidi"/>
          <w:sz w:val="20"/>
          <w:szCs w:val="20"/>
        </w:rPr>
        <w:t xml:space="preserve"> </w:t>
      </w:r>
      <w:r w:rsidRPr="00EF3FA4">
        <w:rPr>
          <w:rFonts w:asciiTheme="majorBidi" w:hAnsiTheme="majorBidi" w:cstheme="majorBidi"/>
          <w:sz w:val="20"/>
          <w:szCs w:val="20"/>
        </w:rPr>
        <w:t>(p</w:t>
      </w:r>
      <w:r w:rsidRPr="009E1C12">
        <w:rPr>
          <w:rFonts w:asciiTheme="majorBidi" w:hAnsiTheme="majorBidi" w:cstheme="majorBidi"/>
          <w:sz w:val="20"/>
          <w:szCs w:val="20"/>
        </w:rPr>
        <w:t>ara.13</w:t>
      </w:r>
      <w:r w:rsidRPr="00EF3FA4">
        <w:rPr>
          <w:rFonts w:asciiTheme="majorBidi" w:hAnsiTheme="majorBidi" w:cstheme="majorBidi"/>
          <w:sz w:val="20"/>
          <w:szCs w:val="20"/>
        </w:rPr>
        <w:t>)</w:t>
      </w:r>
      <w:r>
        <w:rPr>
          <w:rFonts w:asciiTheme="majorBidi" w:hAnsiTheme="majorBidi" w:cstheme="majorBidi"/>
          <w:sz w:val="20"/>
          <w:szCs w:val="20"/>
        </w:rPr>
        <w:t xml:space="preserve"> [emphasis added]</w:t>
      </w:r>
      <w:r w:rsidRPr="009E1C12">
        <w:rPr>
          <w:rFonts w:asciiTheme="majorBidi" w:hAnsiTheme="majorBidi" w:cstheme="majorBidi"/>
          <w:sz w:val="20"/>
          <w:szCs w:val="20"/>
        </w:rPr>
        <w:t xml:space="preserve">. </w:t>
      </w:r>
      <w:r>
        <w:rPr>
          <w:rFonts w:asciiTheme="majorBidi" w:hAnsiTheme="majorBidi" w:cstheme="majorBidi"/>
          <w:sz w:val="20"/>
          <w:szCs w:val="20"/>
        </w:rPr>
        <w:t>T</w:t>
      </w:r>
      <w:r w:rsidRPr="009E1C12">
        <w:rPr>
          <w:rFonts w:asciiTheme="majorBidi" w:hAnsiTheme="majorBidi" w:cstheme="majorBidi"/>
          <w:sz w:val="20"/>
          <w:szCs w:val="20"/>
        </w:rPr>
        <w:t>his limitation is very important</w:t>
      </w:r>
      <w:r>
        <w:rPr>
          <w:rFonts w:asciiTheme="majorBidi" w:hAnsiTheme="majorBidi" w:cstheme="majorBidi"/>
          <w:sz w:val="20"/>
          <w:szCs w:val="20"/>
        </w:rPr>
        <w:t>.  B</w:t>
      </w:r>
      <w:r w:rsidRPr="009E1C12">
        <w:rPr>
          <w:rFonts w:asciiTheme="majorBidi" w:hAnsiTheme="majorBidi" w:cstheme="majorBidi"/>
          <w:sz w:val="20"/>
          <w:szCs w:val="20"/>
        </w:rPr>
        <w:t xml:space="preserve">ut </w:t>
      </w:r>
      <w:r>
        <w:rPr>
          <w:rFonts w:asciiTheme="majorBidi" w:hAnsiTheme="majorBidi" w:cstheme="majorBidi"/>
          <w:sz w:val="20"/>
          <w:szCs w:val="20"/>
        </w:rPr>
        <w:t xml:space="preserve">as drafted, </w:t>
      </w:r>
      <w:r w:rsidRPr="009E1C12">
        <w:rPr>
          <w:rFonts w:asciiTheme="majorBidi" w:hAnsiTheme="majorBidi" w:cstheme="majorBidi"/>
          <w:sz w:val="20"/>
          <w:szCs w:val="20"/>
        </w:rPr>
        <w:t>the limitation on time applies only to removal from the family</w:t>
      </w:r>
      <w:r>
        <w:rPr>
          <w:rFonts w:asciiTheme="majorBidi" w:hAnsiTheme="majorBidi" w:cstheme="majorBidi"/>
          <w:sz w:val="20"/>
          <w:szCs w:val="20"/>
        </w:rPr>
        <w:t xml:space="preserve"> and not to placement itself.  Once</w:t>
      </w:r>
      <w:r w:rsidRPr="009E1C12">
        <w:rPr>
          <w:rFonts w:asciiTheme="majorBidi" w:hAnsiTheme="majorBidi" w:cstheme="majorBidi"/>
          <w:sz w:val="20"/>
          <w:szCs w:val="20"/>
        </w:rPr>
        <w:t xml:space="preserve"> family ties have been broken or no longer exist, </w:t>
      </w:r>
      <w:r>
        <w:rPr>
          <w:rFonts w:asciiTheme="majorBidi" w:hAnsiTheme="majorBidi" w:cstheme="majorBidi"/>
          <w:sz w:val="20"/>
          <w:szCs w:val="20"/>
        </w:rPr>
        <w:t>the Guidelines to not limit the time of placement in an institution or in residential care.  Overall, social services must be reform and g</w:t>
      </w:r>
      <w:r w:rsidRPr="009E1C12">
        <w:rPr>
          <w:rFonts w:asciiTheme="majorBidi" w:hAnsiTheme="majorBidi" w:cstheme="majorBidi"/>
          <w:sz w:val="20"/>
          <w:szCs w:val="20"/>
        </w:rPr>
        <w:t>overnments must move toward   “progressive elimination” of institutions (para. 22) in a “timely manner” (para.</w:t>
      </w:r>
      <w:r w:rsidRPr="00EF3FA4">
        <w:rPr>
          <w:rFonts w:asciiTheme="majorBidi" w:hAnsiTheme="majorBidi" w:cstheme="majorBidi"/>
          <w:sz w:val="20"/>
          <w:szCs w:val="20"/>
        </w:rPr>
        <w:t xml:space="preserve"> </w:t>
      </w:r>
      <w:r w:rsidRPr="009E1C12">
        <w:rPr>
          <w:rFonts w:asciiTheme="majorBidi" w:hAnsiTheme="majorBidi" w:cstheme="majorBidi"/>
          <w:sz w:val="20"/>
          <w:szCs w:val="20"/>
        </w:rPr>
        <w:t>23).</w:t>
      </w:r>
      <w:r>
        <w:rPr>
          <w:rFonts w:asciiTheme="majorBidi" w:hAnsiTheme="majorBidi" w:cstheme="majorBidi"/>
          <w:sz w:val="20"/>
          <w:szCs w:val="20"/>
        </w:rPr>
        <w:t xml:space="preserve">  </w:t>
      </w:r>
      <w:r w:rsidRPr="009E1C12">
        <w:rPr>
          <w:rFonts w:asciiTheme="majorBidi" w:hAnsiTheme="majorBidi" w:cstheme="majorBidi"/>
          <w:sz w:val="20"/>
          <w:szCs w:val="20"/>
        </w:rPr>
        <w:t>Under the Guidelines, children may be placed in long-term residential care facilities</w:t>
      </w:r>
      <w:r>
        <w:rPr>
          <w:rFonts w:asciiTheme="majorBidi" w:hAnsiTheme="majorBidi" w:cstheme="majorBidi"/>
          <w:sz w:val="20"/>
          <w:szCs w:val="20"/>
        </w:rPr>
        <w:t xml:space="preserve"> indefinitely. Residential placement is </w:t>
      </w:r>
      <w:r w:rsidRPr="009E1C12">
        <w:rPr>
          <w:rFonts w:asciiTheme="majorBidi" w:hAnsiTheme="majorBidi" w:cstheme="majorBidi"/>
          <w:sz w:val="20"/>
          <w:szCs w:val="20"/>
        </w:rPr>
        <w:t xml:space="preserve">accepted as a necessary “complement” to family-based care </w:t>
      </w:r>
      <w:r w:rsidRPr="00EF3FA4">
        <w:rPr>
          <w:rFonts w:asciiTheme="majorBidi" w:hAnsiTheme="majorBidi" w:cstheme="majorBidi"/>
          <w:sz w:val="20"/>
          <w:szCs w:val="20"/>
        </w:rPr>
        <w:t>(p</w:t>
      </w:r>
      <w:r w:rsidRPr="009E1C12">
        <w:rPr>
          <w:rFonts w:asciiTheme="majorBidi" w:hAnsiTheme="majorBidi" w:cstheme="majorBidi"/>
          <w:sz w:val="20"/>
          <w:szCs w:val="20"/>
        </w:rPr>
        <w:t>ara. 22</w:t>
      </w:r>
      <w:r w:rsidRPr="00EF3FA4">
        <w:rPr>
          <w:rFonts w:asciiTheme="majorBidi" w:hAnsiTheme="majorBidi" w:cstheme="majorBidi"/>
          <w:sz w:val="20"/>
          <w:szCs w:val="20"/>
        </w:rPr>
        <w:t>)</w:t>
      </w:r>
      <w:r w:rsidRPr="009E1C12">
        <w:rPr>
          <w:rFonts w:asciiTheme="majorBidi" w:hAnsiTheme="majorBidi" w:cstheme="majorBidi"/>
          <w:sz w:val="20"/>
          <w:szCs w:val="20"/>
        </w:rPr>
        <w:t xml:space="preserve">.  </w:t>
      </w:r>
      <w:r>
        <w:rPr>
          <w:rFonts w:asciiTheme="majorBidi" w:hAnsiTheme="majorBidi" w:cstheme="majorBidi"/>
          <w:sz w:val="20"/>
          <w:szCs w:val="20"/>
        </w:rPr>
        <w:t xml:space="preserve">For further concerns about the Guidelines, </w:t>
      </w:r>
      <w:r>
        <w:rPr>
          <w:rFonts w:asciiTheme="majorBidi" w:hAnsiTheme="majorBidi" w:cstheme="majorBidi"/>
          <w:i/>
          <w:sz w:val="20"/>
          <w:szCs w:val="20"/>
        </w:rPr>
        <w:t xml:space="preserve">see </w:t>
      </w:r>
      <w:r>
        <w:rPr>
          <w:rFonts w:asciiTheme="majorBidi" w:hAnsiTheme="majorBidi" w:cstheme="majorBidi"/>
          <w:sz w:val="20"/>
          <w:szCs w:val="20"/>
        </w:rPr>
        <w:t xml:space="preserve">text accompanying notes 127 to 129 </w:t>
      </w:r>
      <w:r>
        <w:rPr>
          <w:rFonts w:asciiTheme="majorBidi" w:hAnsiTheme="majorBidi" w:cstheme="majorBidi"/>
          <w:i/>
          <w:sz w:val="20"/>
          <w:szCs w:val="20"/>
        </w:rPr>
        <w:t>infra.</w:t>
      </w:r>
    </w:p>
  </w:footnote>
  <w:footnote w:id="21">
    <w:p w14:paraId="26555171" w14:textId="2B0B08C7" w:rsidR="001A3CF6" w:rsidRPr="009E1C12" w:rsidRDefault="001A3CF6" w:rsidP="009E1C12">
      <w:pPr>
        <w:spacing w:after="0"/>
        <w:rPr>
          <w:rFonts w:asciiTheme="majorBidi"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w:t>
      </w:r>
      <w:r w:rsidRPr="009E1C12">
        <w:rPr>
          <w:rFonts w:asciiTheme="majorBidi" w:hAnsiTheme="majorBidi" w:cstheme="majorBidi"/>
          <w:i/>
          <w:sz w:val="20"/>
          <w:szCs w:val="20"/>
        </w:rPr>
        <w:t xml:space="preserve">See, e.g. </w:t>
      </w:r>
      <w:r w:rsidRPr="009E1C12">
        <w:rPr>
          <w:rFonts w:asciiTheme="majorBidi" w:hAnsiTheme="majorBidi" w:cstheme="majorBidi"/>
          <w:sz w:val="20"/>
          <w:szCs w:val="20"/>
        </w:rPr>
        <w:t xml:space="preserve">Georgetown Law Human Rights Institute Fact-Finding Project, </w:t>
      </w:r>
      <w:r w:rsidRPr="009E1C12">
        <w:rPr>
          <w:rFonts w:asciiTheme="majorBidi" w:hAnsiTheme="majorBidi" w:cstheme="majorBidi"/>
          <w:smallCaps/>
          <w:sz w:val="20"/>
          <w:szCs w:val="20"/>
        </w:rPr>
        <w:t>The Cost of Stemming the Tide: How Immigration Enforcement Practices in Southern Mexico Limit Migrant Children’s Access to International Protection</w:t>
      </w:r>
      <w:r w:rsidRPr="009E1C12">
        <w:rPr>
          <w:rFonts w:asciiTheme="majorBidi" w:hAnsiTheme="majorBidi" w:cstheme="majorBidi"/>
          <w:sz w:val="20"/>
          <w:szCs w:val="20"/>
        </w:rPr>
        <w:t xml:space="preserve"> (2015)</w:t>
      </w:r>
      <w:r w:rsidRPr="006F38B8">
        <w:rPr>
          <w:rFonts w:asciiTheme="majorBidi" w:hAnsiTheme="majorBidi" w:cstheme="majorBidi"/>
          <w:sz w:val="20"/>
          <w:szCs w:val="20"/>
        </w:rPr>
        <w:t xml:space="preserve">, </w:t>
      </w:r>
      <w:r w:rsidRPr="00EF3FA4">
        <w:rPr>
          <w:rFonts w:asciiTheme="majorBidi" w:hAnsiTheme="majorBidi" w:cstheme="majorBidi"/>
          <w:sz w:val="20"/>
          <w:szCs w:val="20"/>
        </w:rPr>
        <w:t>http://www.law.georgetown.edu/academics/centers-institutes/human-rights-institute/fact-finding/upload/HRI-Fact-Finding-R</w:t>
      </w:r>
      <w:r w:rsidRPr="00FF3EB3">
        <w:rPr>
          <w:rFonts w:asciiTheme="majorBidi" w:hAnsiTheme="majorBidi" w:cstheme="majorBidi"/>
          <w:sz w:val="20"/>
          <w:szCs w:val="20"/>
        </w:rPr>
        <w:t>eport-Stemming-the-Tide-Web-PDF_English.pdf</w:t>
      </w:r>
      <w:r w:rsidRPr="009E1C12">
        <w:rPr>
          <w:rFonts w:asciiTheme="majorBidi" w:hAnsiTheme="majorBidi" w:cstheme="majorBidi"/>
          <w:sz w:val="20"/>
          <w:szCs w:val="20"/>
        </w:rPr>
        <w:t xml:space="preserve"> (describing the human rights impact of children in immigration detention in Mexico); International Detention Coalition, </w:t>
      </w:r>
      <w:r w:rsidRPr="009E1C12">
        <w:rPr>
          <w:rFonts w:asciiTheme="majorBidi" w:hAnsiTheme="majorBidi" w:cstheme="majorBidi"/>
          <w:smallCaps/>
          <w:sz w:val="20"/>
          <w:szCs w:val="20"/>
        </w:rPr>
        <w:t>Dignity Without Exception: Alternatives to Immigration Detention in Mexico</w:t>
      </w:r>
      <w:r w:rsidRPr="006F38B8">
        <w:rPr>
          <w:rFonts w:asciiTheme="majorBidi" w:hAnsiTheme="majorBidi" w:cstheme="majorBidi"/>
          <w:sz w:val="20"/>
          <w:szCs w:val="20"/>
        </w:rPr>
        <w:t>(2013)</w:t>
      </w:r>
      <w:r w:rsidRPr="009E1C12">
        <w:rPr>
          <w:rFonts w:asciiTheme="majorBidi" w:hAnsiTheme="majorBidi" w:cstheme="majorBidi"/>
          <w:sz w:val="20"/>
          <w:szCs w:val="20"/>
        </w:rPr>
        <w:t>, 120-142</w:t>
      </w:r>
      <w:r w:rsidRPr="006F38B8">
        <w:rPr>
          <w:rFonts w:asciiTheme="majorBidi" w:hAnsiTheme="majorBidi" w:cstheme="majorBidi"/>
          <w:sz w:val="20"/>
          <w:szCs w:val="20"/>
        </w:rPr>
        <w:t xml:space="preserve">, </w:t>
      </w:r>
      <w:r w:rsidRPr="00EF3FA4">
        <w:rPr>
          <w:rFonts w:asciiTheme="majorBidi" w:hAnsiTheme="majorBidi" w:cstheme="majorBidi"/>
          <w:sz w:val="20"/>
          <w:szCs w:val="20"/>
        </w:rPr>
        <w:t>http://idcoalition.org/publication/view/dignity-without-exception/</w:t>
      </w:r>
      <w:r w:rsidRPr="009E1C12">
        <w:rPr>
          <w:rFonts w:asciiTheme="majorBidi" w:hAnsiTheme="majorBidi" w:cstheme="majorBidi"/>
          <w:sz w:val="20"/>
          <w:szCs w:val="20"/>
        </w:rPr>
        <w:t xml:space="preserve">; International Detention Coalition, </w:t>
      </w:r>
      <w:r w:rsidRPr="009E1C12">
        <w:rPr>
          <w:rFonts w:asciiTheme="majorBidi" w:hAnsiTheme="majorBidi" w:cstheme="majorBidi"/>
          <w:smallCaps/>
          <w:sz w:val="20"/>
          <w:szCs w:val="20"/>
        </w:rPr>
        <w:t>Captured Childhood: Introducing a new model to ensure the rights and liberty of refugee, asylum seeker and irregular migrant children affected by immigration detention</w:t>
      </w:r>
      <w:r w:rsidRPr="009E1C12">
        <w:rPr>
          <w:rFonts w:asciiTheme="majorBidi" w:hAnsiTheme="majorBidi" w:cstheme="majorBidi"/>
          <w:sz w:val="20"/>
          <w:szCs w:val="20"/>
        </w:rPr>
        <w:t xml:space="preserve"> (2012)</w:t>
      </w:r>
      <w:r w:rsidRPr="006F38B8">
        <w:rPr>
          <w:rFonts w:asciiTheme="majorBidi" w:hAnsiTheme="majorBidi" w:cstheme="majorBidi"/>
          <w:sz w:val="20"/>
          <w:szCs w:val="20"/>
        </w:rPr>
        <w:t>,</w:t>
      </w:r>
      <w:r w:rsidRPr="009E1C12">
        <w:rPr>
          <w:rFonts w:asciiTheme="majorBidi" w:hAnsiTheme="majorBidi" w:cstheme="majorBidi"/>
          <w:sz w:val="20"/>
          <w:szCs w:val="20"/>
        </w:rPr>
        <w:t xml:space="preserve"> </w:t>
      </w:r>
      <w:r w:rsidRPr="006F38B8">
        <w:rPr>
          <w:rFonts w:asciiTheme="majorBidi" w:hAnsiTheme="majorBidi" w:cstheme="majorBidi"/>
          <w:sz w:val="20"/>
          <w:szCs w:val="20"/>
        </w:rPr>
        <w:t>http://idcoalition.org/w</w:t>
      </w:r>
      <w:r w:rsidRPr="00EF3FA4">
        <w:rPr>
          <w:rFonts w:asciiTheme="majorBidi" w:hAnsiTheme="majorBidi" w:cstheme="majorBidi"/>
          <w:sz w:val="20"/>
          <w:szCs w:val="20"/>
        </w:rPr>
        <w:t>p-content/uploads/2012/03/Captured-Childhood-FINAL-June-2012.pdf</w:t>
      </w:r>
      <w:r w:rsidRPr="009E1C12">
        <w:rPr>
          <w:rFonts w:asciiTheme="majorBidi" w:hAnsiTheme="majorBidi" w:cstheme="majorBidi"/>
          <w:sz w:val="20"/>
          <w:szCs w:val="20"/>
        </w:rPr>
        <w:t xml:space="preserve">; Human Rights Watch, </w:t>
      </w:r>
      <w:r w:rsidRPr="009E1C12">
        <w:rPr>
          <w:rFonts w:asciiTheme="majorBidi" w:hAnsiTheme="majorBidi" w:cstheme="majorBidi"/>
          <w:smallCaps/>
          <w:sz w:val="20"/>
          <w:szCs w:val="20"/>
        </w:rPr>
        <w:t>Left to Survive: Systematic Failure to Protect Unaccompanied Migrant Children in Greece</w:t>
      </w:r>
      <w:r w:rsidRPr="009E1C12">
        <w:rPr>
          <w:rFonts w:asciiTheme="majorBidi" w:hAnsiTheme="majorBidi" w:cstheme="majorBidi"/>
          <w:sz w:val="20"/>
          <w:szCs w:val="20"/>
        </w:rPr>
        <w:t xml:space="preserve"> (2008) </w:t>
      </w:r>
      <w:hyperlink r:id="rId7" w:history="1">
        <w:r w:rsidRPr="009E1C12">
          <w:rPr>
            <w:rStyle w:val="Hyperlink"/>
            <w:rFonts w:asciiTheme="majorBidi" w:hAnsiTheme="majorBidi" w:cstheme="majorBidi"/>
            <w:sz w:val="20"/>
            <w:szCs w:val="20"/>
          </w:rPr>
          <w:t>https://www.hrw.org/report/2008/12/22/left-survive/systematic-failure-protect-unaccompanied-migrant-children-greece</w:t>
        </w:r>
      </w:hyperlink>
      <w:r w:rsidRPr="009E1C12">
        <w:rPr>
          <w:rFonts w:asciiTheme="majorBidi" w:hAnsiTheme="majorBidi" w:cstheme="majorBidi"/>
          <w:sz w:val="20"/>
          <w:szCs w:val="20"/>
        </w:rPr>
        <w:t xml:space="preserve"> ; UNICEF, Administrative Detention of Children: A Global Report (2012) </w:t>
      </w:r>
      <w:hyperlink r:id="rId8" w:history="1">
        <w:r w:rsidRPr="009E1C12">
          <w:rPr>
            <w:rStyle w:val="Hyperlink"/>
            <w:rFonts w:asciiTheme="majorBidi" w:hAnsiTheme="majorBidi" w:cstheme="majorBidi"/>
            <w:sz w:val="20"/>
            <w:szCs w:val="20"/>
          </w:rPr>
          <w:t>http://www.unicef.org/protection/Administrative_detention_discussion_paper_April2011.pdf</w:t>
        </w:r>
      </w:hyperlink>
    </w:p>
  </w:footnote>
  <w:footnote w:id="22">
    <w:p w14:paraId="43681383" w14:textId="5769551F" w:rsidR="001A3CF6" w:rsidRPr="009E1C12" w:rsidRDefault="001A3CF6" w:rsidP="0011718D">
      <w:pPr>
        <w:spacing w:after="0" w:line="240" w:lineRule="auto"/>
        <w:rPr>
          <w:rFonts w:asciiTheme="majorBidi" w:hAnsiTheme="majorBidi" w:cstheme="majorBidi"/>
          <w:sz w:val="20"/>
          <w:szCs w:val="20"/>
        </w:rPr>
      </w:pPr>
      <w:r w:rsidRPr="009E1C12">
        <w:rPr>
          <w:rStyle w:val="FootnoteReference"/>
          <w:rFonts w:asciiTheme="majorBidi" w:hAnsiTheme="majorBidi" w:cstheme="majorBidi"/>
          <w:sz w:val="20"/>
          <w:szCs w:val="20"/>
        </w:rPr>
        <w:footnoteRef/>
      </w:r>
      <w:r>
        <w:rPr>
          <w:rFonts w:ascii="Times New Roman" w:hAnsi="Times New Roman" w:cs="Times New Roman"/>
        </w:rPr>
        <w:t xml:space="preserve"> </w:t>
      </w:r>
      <w:r w:rsidRPr="006F294C">
        <w:rPr>
          <w:rFonts w:ascii="Times New Roman" w:hAnsi="Times New Roman" w:cs="Times New Roman"/>
        </w:rPr>
        <w:t>Méndez</w:t>
      </w:r>
      <w:r w:rsidRPr="006F38B8">
        <w:rPr>
          <w:rFonts w:asciiTheme="majorBidi" w:hAnsiTheme="majorBidi" w:cstheme="majorBidi"/>
        </w:rPr>
        <w:t xml:space="preserve"> </w:t>
      </w:r>
      <w:r w:rsidRPr="009E1C12">
        <w:rPr>
          <w:rFonts w:asciiTheme="majorBidi" w:hAnsiTheme="majorBidi" w:cstheme="majorBidi"/>
        </w:rPr>
        <w:t>2015 Report</w:t>
      </w:r>
      <w:r w:rsidRPr="009E1C12">
        <w:rPr>
          <w:rFonts w:asciiTheme="majorBidi" w:hAnsiTheme="majorBidi" w:cstheme="majorBidi"/>
          <w:sz w:val="20"/>
          <w:szCs w:val="20"/>
        </w:rPr>
        <w:t xml:space="preserve">, </w:t>
      </w:r>
      <w:r w:rsidRPr="00B57B6A">
        <w:rPr>
          <w:rFonts w:asciiTheme="majorBidi" w:hAnsiTheme="majorBidi" w:cstheme="majorBidi"/>
          <w:i/>
          <w:sz w:val="20"/>
          <w:szCs w:val="20"/>
        </w:rPr>
        <w:t>supra</w:t>
      </w:r>
      <w:r w:rsidRPr="00B57B6A">
        <w:rPr>
          <w:rFonts w:asciiTheme="majorBidi" w:hAnsiTheme="majorBidi" w:cstheme="majorBidi"/>
          <w:sz w:val="20"/>
          <w:szCs w:val="20"/>
        </w:rPr>
        <w:t xml:space="preserve"> note </w:t>
      </w:r>
      <w:r w:rsidRPr="00BD234E">
        <w:rPr>
          <w:rFonts w:asciiTheme="majorBidi" w:hAnsiTheme="majorBidi" w:cstheme="majorBidi"/>
          <w:sz w:val="20"/>
          <w:szCs w:val="20"/>
        </w:rPr>
        <w:t>2, para</w:t>
      </w:r>
      <w:r w:rsidRPr="009E1C12">
        <w:rPr>
          <w:rFonts w:asciiTheme="majorBidi" w:hAnsiTheme="majorBidi" w:cstheme="majorBidi"/>
          <w:sz w:val="20"/>
          <w:szCs w:val="20"/>
        </w:rPr>
        <w:t>. 80.</w:t>
      </w:r>
    </w:p>
  </w:footnote>
  <w:footnote w:id="23">
    <w:p w14:paraId="32BD6376" w14:textId="56D2BA7E" w:rsidR="001A3CF6" w:rsidRPr="00866F9B" w:rsidRDefault="001A3CF6" w:rsidP="00B668ED">
      <w:pPr>
        <w:pStyle w:val="FootnoteText"/>
        <w:rPr>
          <w:rFonts w:ascii="Times New Roman" w:hAnsi="Times New Roman" w:cs="Times New Roman"/>
        </w:rPr>
      </w:pPr>
      <w:r w:rsidRPr="009E1C12">
        <w:rPr>
          <w:rStyle w:val="FootnoteReference"/>
          <w:rFonts w:asciiTheme="majorBidi" w:hAnsiTheme="majorBidi" w:cstheme="majorBidi"/>
        </w:rPr>
        <w:footnoteRef/>
      </w:r>
      <w:r w:rsidRPr="009E1C12">
        <w:rPr>
          <w:rFonts w:asciiTheme="majorBidi" w:hAnsiTheme="majorBidi" w:cstheme="majorBidi"/>
        </w:rPr>
        <w:t xml:space="preserve"> As described by the research literature in section II-B of this report, all children need to grow up with a family. Thus, this article refers to institutions as any placement where a child is not with his or her own family or a substitute family.   </w:t>
      </w:r>
      <w:r w:rsidRPr="00866F9B">
        <w:rPr>
          <w:rFonts w:ascii="Times New Roman" w:hAnsi="Times New Roman" w:cs="Times New Roman"/>
        </w:rPr>
        <w:t>An organization dedicated to the closure of all institutions,  Lumos, has defined an institution as “any residential facility in which:</w:t>
      </w:r>
    </w:p>
    <w:p w14:paraId="269D651C" w14:textId="77777777" w:rsidR="001A3CF6" w:rsidRPr="00866F9B" w:rsidRDefault="001A3CF6" w:rsidP="00B668ED">
      <w:pPr>
        <w:pStyle w:val="FootnoteText"/>
        <w:numPr>
          <w:ilvl w:val="0"/>
          <w:numId w:val="30"/>
        </w:numPr>
        <w:rPr>
          <w:rFonts w:ascii="Times New Roman" w:hAnsi="Times New Roman" w:cs="Times New Roman"/>
        </w:rPr>
      </w:pPr>
      <w:r w:rsidRPr="00866F9B">
        <w:rPr>
          <w:rFonts w:ascii="Times New Roman" w:hAnsi="Times New Roman" w:cs="Times New Roman"/>
        </w:rPr>
        <w:t>Children are separated from their families, isolated from the broader community and or compelled to live together;</w:t>
      </w:r>
    </w:p>
    <w:p w14:paraId="7F3CA255" w14:textId="77777777" w:rsidR="001A3CF6" w:rsidRPr="00866F9B" w:rsidRDefault="001A3CF6" w:rsidP="00B668ED">
      <w:pPr>
        <w:pStyle w:val="FootnoteText"/>
        <w:numPr>
          <w:ilvl w:val="0"/>
          <w:numId w:val="30"/>
        </w:numPr>
        <w:rPr>
          <w:rFonts w:ascii="Times New Roman" w:hAnsi="Times New Roman" w:cs="Times New Roman"/>
        </w:rPr>
      </w:pPr>
      <w:r w:rsidRPr="00866F9B">
        <w:rPr>
          <w:rFonts w:ascii="Times New Roman" w:hAnsi="Times New Roman" w:cs="Times New Roman"/>
        </w:rPr>
        <w:t>Children (and their families) do not have sufficient control over their lives and decisions which affect their them;</w:t>
      </w:r>
    </w:p>
    <w:p w14:paraId="542C9BCD" w14:textId="77777777" w:rsidR="001A3CF6" w:rsidRPr="00866F9B" w:rsidRDefault="001A3CF6" w:rsidP="00B668ED">
      <w:pPr>
        <w:pStyle w:val="FootnoteText"/>
        <w:numPr>
          <w:ilvl w:val="0"/>
          <w:numId w:val="30"/>
        </w:numPr>
        <w:rPr>
          <w:rFonts w:ascii="Times New Roman" w:hAnsi="Times New Roman" w:cs="Times New Roman"/>
        </w:rPr>
      </w:pPr>
      <w:r w:rsidRPr="00866F9B">
        <w:rPr>
          <w:rFonts w:ascii="Times New Roman" w:hAnsi="Times New Roman" w:cs="Times New Roman"/>
        </w:rPr>
        <w:t>The requirements of the organization itself tend to take precedence over the children’s individualized needs.</w:t>
      </w:r>
    </w:p>
    <w:p w14:paraId="64FDDE23" w14:textId="18D1AAE6" w:rsidR="001A3CF6" w:rsidRPr="009E1C12" w:rsidRDefault="001A3CF6" w:rsidP="00462236">
      <w:pPr>
        <w:pStyle w:val="FootnoteText"/>
        <w:rPr>
          <w:rFonts w:asciiTheme="majorBidi" w:hAnsiTheme="majorBidi" w:cstheme="majorBidi"/>
        </w:rPr>
      </w:pPr>
      <w:r w:rsidRPr="00866F9B">
        <w:rPr>
          <w:rFonts w:ascii="Times New Roman" w:hAnsi="Times New Roman" w:cs="Times New Roman"/>
        </w:rPr>
        <w:t>Other terms used to refer to children’s institutions include: orphanages, baby homes, residential schools, residential health facilities, children’s homes and homes for persons with disabilities that house both adults and children (e.g. social care homes).</w:t>
      </w:r>
      <w:r>
        <w:rPr>
          <w:rFonts w:ascii="Times New Roman" w:hAnsi="Times New Roman" w:cs="Times New Roman"/>
        </w:rPr>
        <w:t xml:space="preserve">”  Lumos, </w:t>
      </w:r>
      <w:r w:rsidRPr="003B2048">
        <w:rPr>
          <w:rFonts w:ascii="Times New Roman" w:hAnsi="Times New Roman" w:cs="Times New Roman"/>
          <w:smallCaps/>
        </w:rPr>
        <w:t>In Our Lifetime: How donors can end the institutionalization of children</w:t>
      </w:r>
      <w:r w:rsidRPr="00866F9B">
        <w:rPr>
          <w:rFonts w:ascii="Times New Roman" w:hAnsi="Times New Roman" w:cs="Times New Roman"/>
        </w:rPr>
        <w:t xml:space="preserve"> 12 (2015), </w:t>
      </w:r>
      <w:r w:rsidRPr="00866F9B">
        <w:rPr>
          <w:rFonts w:ascii="Times New Roman" w:hAnsi="Times New Roman" w:cs="Times New Roman"/>
          <w:i/>
        </w:rPr>
        <w:t xml:space="preserve">citing </w:t>
      </w:r>
      <w:r>
        <w:rPr>
          <w:rFonts w:ascii="Times New Roman" w:hAnsi="Times New Roman" w:cs="Times New Roman"/>
        </w:rPr>
        <w:t xml:space="preserve">a similar analysis in </w:t>
      </w:r>
      <w:r w:rsidRPr="00866F9B">
        <w:rPr>
          <w:rFonts w:ascii="Times New Roman" w:hAnsi="Times New Roman" w:cs="Times New Roman"/>
        </w:rPr>
        <w:t>European Commission, Report of the Ad Hoc Expert Group on the Transition from Institution to Community-Care 9 (August 12, 20</w:t>
      </w:r>
      <w:r>
        <w:rPr>
          <w:rFonts w:ascii="Times New Roman" w:hAnsi="Times New Roman" w:cs="Times New Roman"/>
        </w:rPr>
        <w:t>09</w:t>
      </w:r>
      <w:r w:rsidRPr="00866F9B">
        <w:rPr>
          <w:rFonts w:ascii="Times New Roman" w:hAnsi="Times New Roman" w:cs="Times New Roman"/>
        </w:rPr>
        <w:t>).</w:t>
      </w:r>
      <w:r>
        <w:rPr>
          <w:rFonts w:asciiTheme="majorBidi" w:hAnsiTheme="majorBidi" w:cstheme="majorBidi"/>
        </w:rPr>
        <w:t xml:space="preserve">   It is important to note that w</w:t>
      </w:r>
      <w:r w:rsidRPr="009E1C12">
        <w:rPr>
          <w:rFonts w:asciiTheme="majorBidi" w:hAnsiTheme="majorBidi" w:cstheme="majorBidi"/>
        </w:rPr>
        <w:t xml:space="preserve">hat </w:t>
      </w:r>
      <w:r>
        <w:rPr>
          <w:rFonts w:asciiTheme="majorBidi" w:hAnsiTheme="majorBidi" w:cstheme="majorBidi"/>
        </w:rPr>
        <w:t>w</w:t>
      </w:r>
      <w:r w:rsidRPr="009E1C12">
        <w:rPr>
          <w:rFonts w:asciiTheme="majorBidi" w:hAnsiTheme="majorBidi" w:cstheme="majorBidi"/>
        </w:rPr>
        <w:t xml:space="preserve">ould be considered an institution for </w:t>
      </w:r>
      <w:r>
        <w:rPr>
          <w:rFonts w:asciiTheme="majorBidi" w:hAnsiTheme="majorBidi" w:cstheme="majorBidi"/>
        </w:rPr>
        <w:t xml:space="preserve">a </w:t>
      </w:r>
      <w:r w:rsidRPr="009E1C12">
        <w:rPr>
          <w:rFonts w:asciiTheme="majorBidi" w:hAnsiTheme="majorBidi" w:cstheme="majorBidi"/>
        </w:rPr>
        <w:t>child is not the same as for an adult</w:t>
      </w:r>
      <w:r>
        <w:rPr>
          <w:rFonts w:asciiTheme="majorBidi" w:hAnsiTheme="majorBidi" w:cstheme="majorBidi"/>
        </w:rPr>
        <w:t>, for whom independence and autonomy are greater factors in their mental health</w:t>
      </w:r>
      <w:r w:rsidRPr="009E1C12">
        <w:rPr>
          <w:rFonts w:asciiTheme="majorBidi" w:hAnsiTheme="majorBidi" w:cstheme="majorBidi"/>
        </w:rPr>
        <w:t>.</w:t>
      </w:r>
      <w:r w:rsidRPr="00866F9B">
        <w:rPr>
          <w:rFonts w:ascii="Times New Roman" w:hAnsi="Times New Roman" w:cs="Times New Roman"/>
        </w:rPr>
        <w:t xml:space="preserve"> </w:t>
      </w:r>
      <w:r>
        <w:rPr>
          <w:rFonts w:asciiTheme="majorBidi" w:hAnsiTheme="majorBidi" w:cstheme="majorBidi"/>
          <w:i/>
        </w:rPr>
        <w:t xml:space="preserve"> </w:t>
      </w:r>
      <w:r w:rsidRPr="009E1C12">
        <w:rPr>
          <w:rFonts w:asciiTheme="majorBidi" w:hAnsiTheme="majorBidi" w:cstheme="majorBidi"/>
        </w:rPr>
        <w:t xml:space="preserve"> Efforts to define traditional long-stay institutions for adults focus on the “rigidity of routine, such as fixed timetables for working, eating and activity, irrespective of individuals’ personal preference or needs.” </w:t>
      </w:r>
      <w:r w:rsidRPr="006F38B8">
        <w:rPr>
          <w:rFonts w:asciiTheme="majorBidi" w:hAnsiTheme="majorBidi" w:cstheme="majorBidi"/>
        </w:rPr>
        <w:t xml:space="preserve">Camilla Parker, </w:t>
      </w:r>
      <w:r w:rsidRPr="009E1C12">
        <w:rPr>
          <w:rFonts w:asciiTheme="majorBidi" w:hAnsiTheme="majorBidi" w:cstheme="majorBidi"/>
          <w:smallCaps/>
        </w:rPr>
        <w:t>Forgotten Europeans Forgotten Rights: The Human Rights of Persons Placed in Institutions</w:t>
      </w:r>
      <w:r w:rsidRPr="006F38B8">
        <w:rPr>
          <w:rFonts w:asciiTheme="majorBidi" w:hAnsiTheme="majorBidi" w:cstheme="majorBidi"/>
        </w:rPr>
        <w:t>, (</w:t>
      </w:r>
      <w:r w:rsidRPr="00EF3FA4">
        <w:rPr>
          <w:rFonts w:asciiTheme="majorBidi" w:hAnsiTheme="majorBidi" w:cstheme="majorBidi"/>
        </w:rPr>
        <w:t xml:space="preserve">United Nations Office of the High Commissioner for Human Rights, Regional Office </w:t>
      </w:r>
      <w:r w:rsidRPr="00FF3EB3">
        <w:rPr>
          <w:rFonts w:asciiTheme="majorBidi" w:hAnsiTheme="majorBidi" w:cstheme="majorBidi"/>
        </w:rPr>
        <w:t>for Europe, 2010)</w:t>
      </w:r>
      <w:r w:rsidRPr="009E1C12">
        <w:rPr>
          <w:rFonts w:asciiTheme="majorBidi" w:hAnsiTheme="majorBidi" w:cstheme="majorBidi"/>
        </w:rPr>
        <w:t xml:space="preserve"> 10 </w:t>
      </w:r>
      <w:r>
        <w:rPr>
          <w:rFonts w:asciiTheme="majorBidi" w:hAnsiTheme="majorBidi" w:cstheme="majorBidi"/>
        </w:rPr>
        <w:t>[</w:t>
      </w:r>
      <w:r w:rsidRPr="009E1C12">
        <w:rPr>
          <w:rFonts w:asciiTheme="majorBidi" w:hAnsiTheme="majorBidi" w:cstheme="majorBidi"/>
        </w:rPr>
        <w:t>hereinafter</w:t>
      </w:r>
      <w:r w:rsidRPr="006F38B8">
        <w:rPr>
          <w:rFonts w:asciiTheme="majorBidi" w:hAnsiTheme="majorBidi" w:cstheme="majorBidi"/>
        </w:rPr>
        <w:t>,</w:t>
      </w:r>
      <w:r w:rsidRPr="009E1C12">
        <w:rPr>
          <w:rFonts w:asciiTheme="majorBidi" w:hAnsiTheme="majorBidi" w:cstheme="majorBidi"/>
        </w:rPr>
        <w:t xml:space="preserve"> </w:t>
      </w:r>
      <w:r w:rsidRPr="006F38B8">
        <w:rPr>
          <w:rFonts w:asciiTheme="majorBidi" w:hAnsiTheme="majorBidi" w:cstheme="majorBidi"/>
        </w:rPr>
        <w:t>“</w:t>
      </w:r>
      <w:r>
        <w:rPr>
          <w:rFonts w:asciiTheme="majorBidi" w:hAnsiTheme="majorBidi" w:cstheme="majorBidi"/>
        </w:rPr>
        <w:t>Forgotten Europeans</w:t>
      </w:r>
      <w:r w:rsidRPr="006F38B8">
        <w:rPr>
          <w:rFonts w:asciiTheme="majorBidi" w:hAnsiTheme="majorBidi" w:cstheme="majorBidi"/>
        </w:rPr>
        <w:t>”</w:t>
      </w:r>
      <w:r>
        <w:rPr>
          <w:rFonts w:asciiTheme="majorBidi" w:hAnsiTheme="majorBidi" w:cstheme="majorBidi"/>
        </w:rPr>
        <w:t>]</w:t>
      </w:r>
      <w:r w:rsidRPr="009E1C12">
        <w:rPr>
          <w:rFonts w:asciiTheme="majorBidi" w:hAnsiTheme="majorBidi" w:cstheme="majorBidi"/>
        </w:rPr>
        <w:t>.</w:t>
      </w:r>
    </w:p>
  </w:footnote>
  <w:footnote w:id="24">
    <w:p w14:paraId="251D5B6A" w14:textId="56DB6E47" w:rsidR="001A3CF6" w:rsidRPr="008C1563" w:rsidRDefault="001A3CF6" w:rsidP="008A259B">
      <w:pPr>
        <w:spacing w:after="0" w:line="240" w:lineRule="auto"/>
        <w:jc w:val="both"/>
        <w:rPr>
          <w:rFonts w:ascii="Times New Roman" w:hAnsi="Times New Roman" w:cs="Times New Roman"/>
          <w:b/>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Guidelines for Alternative Care, </w:t>
      </w:r>
      <w:r w:rsidRPr="00B57B6A">
        <w:rPr>
          <w:rFonts w:asciiTheme="majorBidi" w:hAnsiTheme="majorBidi" w:cstheme="majorBidi"/>
          <w:i/>
          <w:sz w:val="20"/>
          <w:szCs w:val="20"/>
        </w:rPr>
        <w:t>supra</w:t>
      </w:r>
      <w:r w:rsidRPr="00B57B6A">
        <w:rPr>
          <w:rFonts w:asciiTheme="majorBidi" w:hAnsiTheme="majorBidi" w:cstheme="majorBidi"/>
          <w:sz w:val="20"/>
          <w:szCs w:val="20"/>
        </w:rPr>
        <w:t xml:space="preserve"> note</w:t>
      </w:r>
      <w:r>
        <w:rPr>
          <w:rFonts w:asciiTheme="majorBidi" w:hAnsiTheme="majorBidi" w:cstheme="majorBidi"/>
          <w:sz w:val="20"/>
          <w:szCs w:val="20"/>
        </w:rPr>
        <w:t xml:space="preserve"> </w:t>
      </w:r>
      <w:r>
        <w:rPr>
          <w:rFonts w:asciiTheme="majorBidi" w:hAnsiTheme="majorBidi" w:cstheme="majorBidi"/>
          <w:sz w:val="20"/>
          <w:szCs w:val="20"/>
        </w:rPr>
        <w:fldChar w:fldCharType="begin"/>
      </w:r>
      <w:r>
        <w:rPr>
          <w:rFonts w:asciiTheme="majorBidi" w:hAnsiTheme="majorBidi" w:cstheme="majorBidi"/>
          <w:sz w:val="20"/>
          <w:szCs w:val="20"/>
        </w:rPr>
        <w:instrText xml:space="preserve"> NOTEREF _Ref471732478 \h </w:instrText>
      </w:r>
      <w:r>
        <w:rPr>
          <w:rFonts w:asciiTheme="majorBidi" w:hAnsiTheme="majorBidi" w:cstheme="majorBidi"/>
          <w:sz w:val="20"/>
          <w:szCs w:val="20"/>
        </w:rPr>
      </w:r>
      <w:r>
        <w:rPr>
          <w:rFonts w:asciiTheme="majorBidi" w:hAnsiTheme="majorBidi" w:cstheme="majorBidi"/>
          <w:sz w:val="20"/>
          <w:szCs w:val="20"/>
        </w:rPr>
        <w:fldChar w:fldCharType="separate"/>
      </w:r>
      <w:r>
        <w:rPr>
          <w:rFonts w:asciiTheme="majorBidi" w:hAnsiTheme="majorBidi" w:cstheme="majorBidi"/>
          <w:sz w:val="20"/>
          <w:szCs w:val="20"/>
        </w:rPr>
        <w:t>19</w:t>
      </w:r>
      <w:r>
        <w:rPr>
          <w:rFonts w:asciiTheme="majorBidi" w:hAnsiTheme="majorBidi" w:cstheme="majorBidi"/>
          <w:sz w:val="20"/>
          <w:szCs w:val="20"/>
        </w:rPr>
        <w:fldChar w:fldCharType="end"/>
      </w:r>
      <w:r w:rsidRPr="003751B3">
        <w:rPr>
          <w:rFonts w:asciiTheme="majorBidi" w:hAnsiTheme="majorBidi" w:cstheme="majorBidi"/>
          <w:sz w:val="20"/>
          <w:szCs w:val="20"/>
        </w:rPr>
        <w:t>,</w:t>
      </w:r>
      <w:r w:rsidRPr="009E1C12">
        <w:rPr>
          <w:rFonts w:asciiTheme="majorBidi" w:hAnsiTheme="majorBidi" w:cstheme="majorBidi"/>
          <w:sz w:val="20"/>
          <w:szCs w:val="20"/>
        </w:rPr>
        <w:t xml:space="preserve"> </w:t>
      </w:r>
      <w:r>
        <w:rPr>
          <w:rFonts w:asciiTheme="majorBidi" w:hAnsiTheme="majorBidi" w:cstheme="majorBidi"/>
          <w:sz w:val="20"/>
          <w:szCs w:val="20"/>
        </w:rPr>
        <w:t xml:space="preserve">at </w:t>
      </w:r>
      <w:r w:rsidRPr="009E1C12">
        <w:rPr>
          <w:rFonts w:asciiTheme="majorBidi" w:hAnsiTheme="majorBidi" w:cstheme="majorBidi"/>
          <w:sz w:val="20"/>
          <w:szCs w:val="20"/>
        </w:rPr>
        <w:t xml:space="preserve">para. 28(b).  Residential care is defined as “any non-family-based group setting, such as places of safety for emergency car, transit </w:t>
      </w:r>
      <w:r w:rsidRPr="006F38B8">
        <w:rPr>
          <w:rFonts w:asciiTheme="majorBidi" w:hAnsiTheme="majorBidi" w:cstheme="majorBidi"/>
          <w:sz w:val="20"/>
          <w:szCs w:val="20"/>
        </w:rPr>
        <w:t>centers</w:t>
      </w:r>
      <w:r w:rsidRPr="009E1C12">
        <w:rPr>
          <w:rFonts w:asciiTheme="majorBidi" w:hAnsiTheme="majorBidi" w:cstheme="majorBidi"/>
          <w:sz w:val="20"/>
          <w:szCs w:val="20"/>
        </w:rPr>
        <w:t xml:space="preserve"> in emergency situations, and all other short and long-term residential care facilities including group homes.”  Some mental health experts have challenged the significance between large institutions and smaller long-term residential care facilities. See</w:t>
      </w:r>
      <w:r>
        <w:rPr>
          <w:rFonts w:asciiTheme="majorBidi" w:hAnsiTheme="majorBidi" w:cstheme="majorBidi"/>
          <w:sz w:val="20"/>
          <w:szCs w:val="20"/>
        </w:rPr>
        <w:t xml:space="preserve"> n.</w:t>
      </w:r>
      <w:r>
        <w:rPr>
          <w:rFonts w:asciiTheme="majorBidi" w:hAnsiTheme="majorBidi" w:cstheme="majorBidi"/>
          <w:sz w:val="20"/>
          <w:szCs w:val="20"/>
        </w:rPr>
        <w:fldChar w:fldCharType="begin"/>
      </w:r>
      <w:r>
        <w:rPr>
          <w:rFonts w:asciiTheme="majorBidi" w:hAnsiTheme="majorBidi" w:cstheme="majorBidi"/>
          <w:sz w:val="20"/>
          <w:szCs w:val="20"/>
        </w:rPr>
        <w:instrText xml:space="preserve"> NOTEREF _Ref464124738 \h </w:instrText>
      </w:r>
      <w:r>
        <w:rPr>
          <w:rFonts w:asciiTheme="majorBidi" w:hAnsiTheme="majorBidi" w:cstheme="majorBidi"/>
          <w:sz w:val="20"/>
          <w:szCs w:val="20"/>
        </w:rPr>
      </w:r>
      <w:r>
        <w:rPr>
          <w:rFonts w:asciiTheme="majorBidi" w:hAnsiTheme="majorBidi" w:cstheme="majorBidi"/>
          <w:sz w:val="20"/>
          <w:szCs w:val="20"/>
        </w:rPr>
        <w:fldChar w:fldCharType="separate"/>
      </w:r>
      <w:r>
        <w:rPr>
          <w:rFonts w:asciiTheme="majorBidi" w:hAnsiTheme="majorBidi" w:cstheme="majorBidi"/>
          <w:sz w:val="20"/>
          <w:szCs w:val="20"/>
        </w:rPr>
        <w:t>61</w:t>
      </w:r>
      <w:r>
        <w:rPr>
          <w:rFonts w:asciiTheme="majorBidi" w:hAnsiTheme="majorBidi" w:cstheme="majorBidi"/>
          <w:sz w:val="20"/>
          <w:szCs w:val="20"/>
        </w:rPr>
        <w:fldChar w:fldCharType="end"/>
      </w:r>
      <w:r>
        <w:rPr>
          <w:rFonts w:asciiTheme="majorBidi" w:hAnsiTheme="majorBidi" w:cstheme="majorBidi"/>
          <w:sz w:val="20"/>
          <w:szCs w:val="20"/>
        </w:rPr>
        <w:t xml:space="preserve"> </w:t>
      </w:r>
      <w:r w:rsidRPr="009E1C12">
        <w:rPr>
          <w:rFonts w:asciiTheme="majorBidi" w:hAnsiTheme="majorBidi" w:cstheme="majorBidi"/>
          <w:i/>
          <w:sz w:val="20"/>
          <w:szCs w:val="20"/>
        </w:rPr>
        <w:t>infra</w:t>
      </w:r>
      <w:r w:rsidRPr="009E1C12">
        <w:rPr>
          <w:rFonts w:asciiTheme="majorBidi" w:hAnsiTheme="majorBidi" w:cstheme="majorBidi"/>
          <w:sz w:val="20"/>
          <w:szCs w:val="20"/>
        </w:rPr>
        <w:t xml:space="preserve"> and </w:t>
      </w:r>
      <w:r w:rsidRPr="008C1563">
        <w:rPr>
          <w:rFonts w:ascii="Times New Roman" w:hAnsi="Times New Roman" w:cs="Times New Roman"/>
          <w:sz w:val="20"/>
          <w:szCs w:val="20"/>
        </w:rPr>
        <w:t xml:space="preserve">accompanying text. </w:t>
      </w:r>
    </w:p>
  </w:footnote>
  <w:footnote w:id="25">
    <w:p w14:paraId="6FDBD583" w14:textId="1E39F770" w:rsidR="001A3CF6" w:rsidRPr="008C1563" w:rsidRDefault="001A3CF6" w:rsidP="00B668ED">
      <w:pPr>
        <w:pStyle w:val="FootnoteText"/>
        <w:rPr>
          <w:rFonts w:ascii="Times New Roman" w:hAnsi="Times New Roman" w:cs="Times New Roman"/>
        </w:rPr>
      </w:pPr>
      <w:r w:rsidRPr="008C1563">
        <w:rPr>
          <w:rStyle w:val="FootnoteReference"/>
          <w:rFonts w:ascii="Times New Roman" w:hAnsi="Times New Roman" w:cs="Times New Roman"/>
        </w:rPr>
        <w:footnoteRef/>
      </w:r>
      <w:r w:rsidRPr="008C1563">
        <w:rPr>
          <w:rFonts w:ascii="Times New Roman" w:hAnsi="Times New Roman" w:cs="Times New Roman"/>
        </w:rPr>
        <w:t xml:space="preserve"> Other organizations also use the terms inter-changeably.  </w:t>
      </w:r>
      <w:r w:rsidRPr="008C1563">
        <w:rPr>
          <w:rFonts w:ascii="Times New Roman" w:hAnsi="Times New Roman" w:cs="Times New Roman"/>
          <w:i/>
        </w:rPr>
        <w:t xml:space="preserve">See, e.g. </w:t>
      </w:r>
      <w:r w:rsidRPr="008C1563">
        <w:rPr>
          <w:rFonts w:ascii="Times New Roman" w:hAnsi="Times New Roman" w:cs="Times New Roman"/>
        </w:rPr>
        <w:t xml:space="preserve">definition cited in note </w:t>
      </w:r>
      <w:r w:rsidRPr="008C1563">
        <w:rPr>
          <w:rFonts w:ascii="Times New Roman" w:hAnsi="Times New Roman" w:cs="Times New Roman"/>
        </w:rPr>
        <w:fldChar w:fldCharType="begin"/>
      </w:r>
      <w:r w:rsidRPr="008C1563">
        <w:rPr>
          <w:rFonts w:ascii="Times New Roman" w:hAnsi="Times New Roman" w:cs="Times New Roman"/>
        </w:rPr>
        <w:instrText xml:space="preserve"> NOTEREF _Ref465943512 \h </w:instrText>
      </w:r>
      <w:r>
        <w:rPr>
          <w:rFonts w:ascii="Times New Roman" w:hAnsi="Times New Roman" w:cs="Times New Roman"/>
        </w:rPr>
        <w:instrText xml:space="preserve"> \* MERGEFORMAT </w:instrText>
      </w:r>
      <w:r w:rsidRPr="008C1563">
        <w:rPr>
          <w:rFonts w:ascii="Times New Roman" w:hAnsi="Times New Roman" w:cs="Times New Roman"/>
        </w:rPr>
      </w:r>
      <w:r w:rsidRPr="008C1563">
        <w:rPr>
          <w:rFonts w:ascii="Times New Roman" w:hAnsi="Times New Roman" w:cs="Times New Roman"/>
        </w:rPr>
        <w:fldChar w:fldCharType="separate"/>
      </w:r>
      <w:r w:rsidRPr="008C1563">
        <w:rPr>
          <w:rFonts w:ascii="Times New Roman" w:hAnsi="Times New Roman" w:cs="Times New Roman"/>
        </w:rPr>
        <w:t>23</w:t>
      </w:r>
      <w:r w:rsidRPr="008C1563">
        <w:rPr>
          <w:rFonts w:ascii="Times New Roman" w:hAnsi="Times New Roman" w:cs="Times New Roman"/>
        </w:rPr>
        <w:fldChar w:fldCharType="end"/>
      </w:r>
      <w:r w:rsidRPr="008C1563">
        <w:rPr>
          <w:rFonts w:ascii="Times New Roman" w:hAnsi="Times New Roman" w:cs="Times New Roman"/>
        </w:rPr>
        <w:t xml:space="preserve"> </w:t>
      </w:r>
      <w:r w:rsidRPr="008C1563">
        <w:rPr>
          <w:rFonts w:ascii="Times New Roman" w:hAnsi="Times New Roman" w:cs="Times New Roman"/>
          <w:i/>
        </w:rPr>
        <w:t>supra.</w:t>
      </w:r>
    </w:p>
  </w:footnote>
  <w:footnote w:id="26">
    <w:p w14:paraId="7AE79934" w14:textId="00D7F8CF" w:rsidR="001A3CF6" w:rsidRPr="009E1C12" w:rsidRDefault="001A3CF6" w:rsidP="00F15AED">
      <w:pPr>
        <w:pStyle w:val="FootnoteText"/>
        <w:rPr>
          <w:rFonts w:asciiTheme="majorBidi" w:hAnsiTheme="majorBidi" w:cstheme="majorBidi"/>
        </w:rPr>
      </w:pPr>
      <w:r w:rsidRPr="008C1563">
        <w:rPr>
          <w:rStyle w:val="FootnoteReference"/>
          <w:rFonts w:ascii="Times New Roman" w:hAnsi="Times New Roman" w:cs="Times New Roman"/>
        </w:rPr>
        <w:footnoteRef/>
      </w:r>
      <w:r w:rsidRPr="008C1563">
        <w:rPr>
          <w:rFonts w:ascii="Times New Roman" w:hAnsi="Times New Roman" w:cs="Times New Roman"/>
        </w:rPr>
        <w:t xml:space="preserve"> As described below, however, the term “orphanage” is almost always a misnomer (see n.</w:t>
      </w:r>
      <w:r w:rsidRPr="008C1563">
        <w:rPr>
          <w:rFonts w:ascii="Times New Roman" w:hAnsi="Times New Roman" w:cs="Times New Roman"/>
        </w:rPr>
        <w:fldChar w:fldCharType="begin"/>
      </w:r>
      <w:r w:rsidRPr="008C1563">
        <w:rPr>
          <w:rFonts w:ascii="Times New Roman" w:hAnsi="Times New Roman" w:cs="Times New Roman"/>
        </w:rPr>
        <w:instrText xml:space="preserve"> NOTEREF _Ref334294741 \h </w:instrText>
      </w:r>
      <w:r>
        <w:rPr>
          <w:rFonts w:ascii="Times New Roman" w:hAnsi="Times New Roman" w:cs="Times New Roman"/>
        </w:rPr>
        <w:instrText xml:space="preserve"> \* MERGEFORMAT </w:instrText>
      </w:r>
      <w:r w:rsidRPr="008C1563">
        <w:rPr>
          <w:rFonts w:ascii="Times New Roman" w:hAnsi="Times New Roman" w:cs="Times New Roman"/>
        </w:rPr>
      </w:r>
      <w:r w:rsidRPr="008C1563">
        <w:rPr>
          <w:rFonts w:ascii="Times New Roman" w:hAnsi="Times New Roman" w:cs="Times New Roman"/>
        </w:rPr>
        <w:fldChar w:fldCharType="separate"/>
      </w:r>
      <w:r w:rsidRPr="008C1563">
        <w:rPr>
          <w:rFonts w:ascii="Times New Roman" w:hAnsi="Times New Roman" w:cs="Times New Roman"/>
        </w:rPr>
        <w:t>51</w:t>
      </w:r>
      <w:r w:rsidRPr="008C1563">
        <w:rPr>
          <w:rFonts w:ascii="Times New Roman" w:hAnsi="Times New Roman" w:cs="Times New Roman"/>
        </w:rPr>
        <w:fldChar w:fldCharType="end"/>
      </w:r>
      <w:r w:rsidRPr="008C1563">
        <w:rPr>
          <w:rFonts w:ascii="Times New Roman" w:hAnsi="Times New Roman" w:cs="Times New Roman"/>
        </w:rPr>
        <w:t xml:space="preserve"> </w:t>
      </w:r>
      <w:r w:rsidRPr="008C1563">
        <w:rPr>
          <w:rFonts w:ascii="Times New Roman" w:hAnsi="Times New Roman" w:cs="Times New Roman"/>
          <w:i/>
        </w:rPr>
        <w:t xml:space="preserve">infra </w:t>
      </w:r>
      <w:r w:rsidRPr="008C1563">
        <w:rPr>
          <w:rFonts w:ascii="Times New Roman" w:hAnsi="Times New Roman" w:cs="Times New Roman"/>
        </w:rPr>
        <w:t>and</w:t>
      </w:r>
      <w:r w:rsidRPr="009E1C12">
        <w:rPr>
          <w:rFonts w:asciiTheme="majorBidi" w:hAnsiTheme="majorBidi" w:cstheme="majorBidi"/>
        </w:rPr>
        <w:t xml:space="preserve"> accompany</w:t>
      </w:r>
      <w:r>
        <w:rPr>
          <w:rFonts w:asciiTheme="majorBidi" w:hAnsiTheme="majorBidi" w:cstheme="majorBidi"/>
        </w:rPr>
        <w:t>ing text).  Estimates are that 80</w:t>
      </w:r>
      <w:r w:rsidRPr="009E1C12">
        <w:rPr>
          <w:rFonts w:asciiTheme="majorBidi" w:hAnsiTheme="majorBidi" w:cstheme="majorBidi"/>
        </w:rPr>
        <w:t>-98% of children in orphanages have at least one living parent.</w:t>
      </w:r>
    </w:p>
  </w:footnote>
  <w:footnote w:id="27">
    <w:p w14:paraId="768C2E8B" w14:textId="44CF64B4" w:rsidR="001A3CF6" w:rsidRPr="009E1C12" w:rsidRDefault="001A3CF6" w:rsidP="00B57B6A">
      <w:pPr>
        <w:pStyle w:val="FootnoteText"/>
        <w:jc w:val="both"/>
        <w:rPr>
          <w:rFonts w:asciiTheme="majorBidi" w:hAnsiTheme="majorBidi" w:cstheme="majorBidi"/>
          <w:b/>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i/>
        </w:rPr>
        <w:t xml:space="preserve"> </w:t>
      </w:r>
      <w:r w:rsidRPr="00B57B6A">
        <w:rPr>
          <w:rFonts w:asciiTheme="majorBidi" w:hAnsiTheme="majorBidi" w:cstheme="majorBidi"/>
        </w:rPr>
        <w:t>at</w:t>
      </w:r>
      <w:r w:rsidRPr="009E1C12">
        <w:rPr>
          <w:rFonts w:asciiTheme="majorBidi" w:hAnsiTheme="majorBidi" w:cstheme="majorBidi"/>
          <w:i/>
        </w:rPr>
        <w:t xml:space="preserve"> </w:t>
      </w:r>
      <w:r w:rsidRPr="009E1C12">
        <w:rPr>
          <w:rFonts w:asciiTheme="majorBidi" w:hAnsiTheme="majorBidi" w:cstheme="majorBidi"/>
        </w:rPr>
        <w:t xml:space="preserve">para. 21. </w:t>
      </w:r>
      <w:r w:rsidRPr="006F38B8">
        <w:rPr>
          <w:rFonts w:asciiTheme="majorBidi" w:hAnsiTheme="majorBidi" w:cstheme="majorBidi"/>
        </w:rPr>
        <w:t xml:space="preserve">The </w:t>
      </w:r>
      <w:r w:rsidRPr="00EF3FA4">
        <w:rPr>
          <w:rFonts w:asciiTheme="majorBidi" w:eastAsia="Arial Unicode MS" w:hAnsiTheme="majorBidi" w:cstheme="majorBidi"/>
        </w:rPr>
        <w:t>United Nations Rules for the Protection of Juveniles Deprived of Their Li</w:t>
      </w:r>
      <w:r w:rsidRPr="00FF3EB3">
        <w:rPr>
          <w:rFonts w:asciiTheme="majorBidi" w:eastAsia="Arial Unicode MS" w:hAnsiTheme="majorBidi" w:cstheme="majorBidi"/>
        </w:rPr>
        <w:t>berty (the “Havana Rules”), GA Res. 45/113, UN Doc. A/RES/45/113 (April 2, 1991), http://www.refworld.</w:t>
      </w:r>
      <w:r w:rsidRPr="00FF3EB3">
        <w:rPr>
          <w:rFonts w:asciiTheme="majorBidi" w:eastAsia="Arial Unicode MS" w:hAnsiTheme="majorBidi" w:cstheme="majorBidi"/>
          <w:color w:val="000000" w:themeColor="text1"/>
        </w:rPr>
        <w:t>org/docid/3b00f18628.html</w:t>
      </w:r>
      <w:r w:rsidRPr="006F38B8">
        <w:rPr>
          <w:rFonts w:asciiTheme="majorBidi" w:hAnsiTheme="majorBidi" w:cstheme="majorBidi"/>
        </w:rPr>
        <w:t xml:space="preserve">, </w:t>
      </w:r>
      <w:r w:rsidRPr="009E1C12">
        <w:rPr>
          <w:rFonts w:asciiTheme="majorBidi" w:hAnsiTheme="majorBidi" w:cstheme="majorBidi"/>
        </w:rPr>
        <w:t xml:space="preserve">use the same definition of detention but do not explicitly extend them to social care, medical or custodial settings as does the </w:t>
      </w:r>
      <w:r w:rsidRPr="00373912">
        <w:rPr>
          <w:rFonts w:ascii="Times New Roman" w:hAnsi="Times New Roman" w:cs="Times New Roman"/>
        </w:rPr>
        <w:t>Méndez</w:t>
      </w:r>
      <w:r w:rsidRPr="009E1C12">
        <w:rPr>
          <w:rFonts w:asciiTheme="majorBidi" w:hAnsiTheme="majorBidi" w:cstheme="majorBidi"/>
        </w:rPr>
        <w:t xml:space="preserve"> 2015 report </w:t>
      </w:r>
      <w:r w:rsidRPr="006F38B8">
        <w:rPr>
          <w:rFonts w:asciiTheme="majorBidi" w:hAnsiTheme="majorBidi" w:cstheme="majorBidi"/>
        </w:rPr>
        <w:t>(</w:t>
      </w:r>
      <w:r w:rsidRPr="009E1C12">
        <w:rPr>
          <w:rFonts w:asciiTheme="majorBidi" w:hAnsiTheme="majorBidi" w:cstheme="majorBidi"/>
        </w:rPr>
        <w:t>Havana Rules, para.11(b)</w:t>
      </w:r>
      <w:r w:rsidRPr="006F38B8">
        <w:rPr>
          <w:rFonts w:asciiTheme="majorBidi" w:hAnsiTheme="majorBidi" w:cstheme="majorBidi"/>
        </w:rPr>
        <w:t>)</w:t>
      </w:r>
      <w:r w:rsidRPr="009E1C12">
        <w:rPr>
          <w:rFonts w:asciiTheme="majorBidi" w:hAnsiTheme="majorBidi" w:cstheme="majorBidi"/>
        </w:rPr>
        <w:t>. This is Consistent with the position of the Committee on the Rights of the Child which states in General Comment 10 that:</w:t>
      </w:r>
      <w:r>
        <w:rPr>
          <w:rFonts w:asciiTheme="majorBidi" w:hAnsiTheme="majorBidi" w:cstheme="majorBidi"/>
        </w:rPr>
        <w:t xml:space="preserve"> </w:t>
      </w:r>
      <w:r w:rsidRPr="009E1C12">
        <w:rPr>
          <w:rFonts w:asciiTheme="majorBidi" w:hAnsiTheme="majorBidi" w:cstheme="majorBidi"/>
        </w:rPr>
        <w:t xml:space="preserve">”the rights of a child deprived of his/her liberty, as recognized in CRC, apply with respect to children in conflict with the law, and to children placed in institutions for the purposes of care, protection or treatment, including mental health, educational, drug treatment, child protection or immigration institutions.” </w:t>
      </w:r>
      <w:r w:rsidRPr="006F38B8">
        <w:rPr>
          <w:rFonts w:asciiTheme="majorBidi" w:hAnsiTheme="majorBidi" w:cstheme="majorBidi"/>
        </w:rPr>
        <w:t xml:space="preserve">UN </w:t>
      </w:r>
      <w:r w:rsidRPr="009E1C12">
        <w:rPr>
          <w:rFonts w:asciiTheme="majorBidi" w:hAnsiTheme="majorBidi" w:cstheme="majorBidi"/>
        </w:rPr>
        <w:t xml:space="preserve">Committee on the Rights of the Child, General Comment No. 10: Children's Rights in Juvenile Justice, note 1, U.N. Doc. CRC/C/GC/10 (Apr. 25, 2007), http://www.refworld.org/docid/4670fca12.html). </w:t>
      </w:r>
    </w:p>
  </w:footnote>
  <w:footnote w:id="28">
    <w:p w14:paraId="7AE28334" w14:textId="635732B1" w:rsidR="001A3CF6" w:rsidRPr="009E1C12"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6F294C">
        <w:rPr>
          <w:rFonts w:ascii="Times New Roman" w:hAnsi="Times New Roman" w:cs="Times New Roman"/>
        </w:rPr>
        <w:t>Méndez</w:t>
      </w:r>
      <w:r w:rsidRPr="006F38B8">
        <w:rPr>
          <w:rFonts w:asciiTheme="majorBidi" w:hAnsiTheme="majorBidi" w:cstheme="majorBidi"/>
        </w:rPr>
        <w:t xml:space="preserve"> </w:t>
      </w:r>
      <w:r w:rsidRPr="009E1C12">
        <w:rPr>
          <w:rFonts w:asciiTheme="majorBidi" w:hAnsiTheme="majorBidi" w:cstheme="majorBidi"/>
        </w:rPr>
        <w:t xml:space="preserve">2015 Report, </w:t>
      </w:r>
      <w:r w:rsidRPr="006F294C">
        <w:rPr>
          <w:rFonts w:asciiTheme="majorBidi" w:hAnsiTheme="majorBidi" w:cstheme="majorBidi"/>
          <w:i/>
        </w:rPr>
        <w:t>supra</w:t>
      </w:r>
      <w:r w:rsidRPr="006F294C">
        <w:rPr>
          <w:rFonts w:asciiTheme="majorBidi" w:hAnsiTheme="majorBidi" w:cstheme="majorBidi"/>
        </w:rPr>
        <w:t xml:space="preserve"> note </w:t>
      </w:r>
      <w:r w:rsidRPr="00BD234E">
        <w:rPr>
          <w:rFonts w:asciiTheme="majorBidi" w:hAnsiTheme="majorBidi" w:cstheme="majorBidi"/>
        </w:rPr>
        <w:t>2,</w:t>
      </w:r>
      <w:r w:rsidRPr="009E1C12">
        <w:rPr>
          <w:rFonts w:asciiTheme="majorBidi" w:hAnsiTheme="majorBidi" w:cstheme="majorBidi"/>
        </w:rPr>
        <w:t xml:space="preserve"> paras. 50-51.</w:t>
      </w:r>
    </w:p>
  </w:footnote>
  <w:footnote w:id="29">
    <w:p w14:paraId="39FFBB03" w14:textId="1FEBDD3D" w:rsidR="001A3CF6" w:rsidRPr="009E1C12"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Guidelines for Alternative Care</w:t>
      </w:r>
      <w:r w:rsidRPr="00BF0FAA">
        <w:rPr>
          <w:rFonts w:asciiTheme="majorBidi" w:hAnsiTheme="majorBidi" w:cstheme="majorBidi"/>
        </w:rPr>
        <w:t xml:space="preserve">, </w:t>
      </w:r>
      <w:r w:rsidRPr="00B57B6A">
        <w:rPr>
          <w:rFonts w:asciiTheme="majorBidi" w:hAnsiTheme="majorBidi" w:cstheme="majorBidi"/>
          <w:i/>
          <w:iCs/>
        </w:rPr>
        <w:t>supra</w:t>
      </w:r>
      <w:r w:rsidRPr="00B57B6A">
        <w:rPr>
          <w:rFonts w:asciiTheme="majorBidi" w:hAnsiTheme="majorBidi" w:cstheme="majorBidi"/>
        </w:rPr>
        <w:t xml:space="preserve"> note 19,</w:t>
      </w:r>
      <w:r>
        <w:rPr>
          <w:rFonts w:asciiTheme="majorBidi" w:hAnsiTheme="majorBidi" w:cstheme="majorBidi"/>
        </w:rPr>
        <w:t xml:space="preserve"> at</w:t>
      </w:r>
      <w:r w:rsidRPr="006F38B8">
        <w:rPr>
          <w:rFonts w:asciiTheme="majorBidi" w:hAnsiTheme="majorBidi" w:cstheme="majorBidi"/>
        </w:rPr>
        <w:t xml:space="preserve"> </w:t>
      </w:r>
      <w:r w:rsidRPr="009E1C12">
        <w:rPr>
          <w:rFonts w:asciiTheme="majorBidi" w:hAnsiTheme="majorBidi" w:cstheme="majorBidi"/>
        </w:rPr>
        <w:t>para. 56.</w:t>
      </w:r>
    </w:p>
  </w:footnote>
  <w:footnote w:id="30">
    <w:p w14:paraId="1AB5B1ED" w14:textId="39236BE2" w:rsidR="001A3CF6" w:rsidRPr="009E1C12"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See</w:t>
      </w:r>
      <w:r w:rsidRPr="009E1C12">
        <w:rPr>
          <w:rFonts w:asciiTheme="majorBidi" w:hAnsiTheme="majorBidi" w:cstheme="majorBidi"/>
          <w:b/>
        </w:rPr>
        <w:t xml:space="preserve"> </w:t>
      </w:r>
      <w:r w:rsidRPr="009E1C12">
        <w:rPr>
          <w:rFonts w:asciiTheme="majorBidi" w:hAnsiTheme="majorBidi" w:cstheme="majorBidi"/>
        </w:rPr>
        <w:t xml:space="preserve">Disability Rights International, </w:t>
      </w:r>
      <w:r w:rsidRPr="009E1C12">
        <w:rPr>
          <w:rFonts w:asciiTheme="majorBidi" w:hAnsiTheme="majorBidi" w:cstheme="majorBidi"/>
          <w:smallCaps/>
        </w:rPr>
        <w:t>Abandoned and Disappeared: Mexico’s Segregation and Abuse of Children and Adults with Disabilities</w:t>
      </w:r>
      <w:r w:rsidRPr="009E1C12">
        <w:rPr>
          <w:rFonts w:asciiTheme="majorBidi" w:hAnsiTheme="majorBidi" w:cstheme="majorBidi"/>
        </w:rPr>
        <w:t xml:space="preserve"> </w:t>
      </w:r>
      <w:r w:rsidRPr="006F38B8">
        <w:rPr>
          <w:rFonts w:asciiTheme="majorBidi" w:hAnsiTheme="majorBidi" w:cstheme="majorBidi"/>
        </w:rPr>
        <w:t xml:space="preserve">(2010), </w:t>
      </w:r>
      <w:r w:rsidRPr="00EF3FA4">
        <w:rPr>
          <w:rFonts w:asciiTheme="majorBidi" w:hAnsiTheme="majorBidi" w:cstheme="majorBidi"/>
        </w:rPr>
        <w:t>http://www.driadvocacy.org/wp-content/up</w:t>
      </w:r>
      <w:r w:rsidRPr="00FF3EB3">
        <w:rPr>
          <w:rFonts w:asciiTheme="majorBidi" w:hAnsiTheme="majorBidi" w:cstheme="majorBidi"/>
        </w:rPr>
        <w:t xml:space="preserve">loads/Abandoned-Disappeared-web.pdf </w:t>
      </w:r>
      <w:r w:rsidRPr="009E1C12">
        <w:rPr>
          <w:rFonts w:asciiTheme="majorBidi" w:hAnsiTheme="majorBidi" w:cstheme="majorBidi"/>
        </w:rPr>
        <w:t>(dedicated to Ilse Michel Martinez, a girl who disappeared from an orphanage)</w:t>
      </w:r>
      <w:r>
        <w:rPr>
          <w:rFonts w:asciiTheme="majorBidi" w:hAnsiTheme="majorBidi" w:cstheme="majorBidi"/>
        </w:rPr>
        <w:t xml:space="preserve"> [hereinafter DRI Mexico (2010)]</w:t>
      </w:r>
      <w:r w:rsidRPr="009E1C12">
        <w:rPr>
          <w:rFonts w:asciiTheme="majorBidi" w:hAnsiTheme="majorBidi" w:cstheme="majorBidi"/>
        </w:rPr>
        <w:t xml:space="preserve">; Mental Disability Rights International, </w:t>
      </w:r>
      <w:r w:rsidRPr="009E1C12">
        <w:rPr>
          <w:rFonts w:asciiTheme="majorBidi" w:hAnsiTheme="majorBidi" w:cstheme="majorBidi"/>
          <w:smallCaps/>
        </w:rPr>
        <w:t>Hidden Suffering: Romania’s Segregation and Abuse of Infants and Children with Disabilities</w:t>
      </w:r>
      <w:r w:rsidRPr="009E1C12">
        <w:rPr>
          <w:rFonts w:asciiTheme="majorBidi" w:hAnsiTheme="majorBidi" w:cstheme="majorBidi"/>
        </w:rPr>
        <w:t xml:space="preserve"> </w:t>
      </w:r>
      <w:r w:rsidRPr="006F38B8">
        <w:rPr>
          <w:rFonts w:asciiTheme="majorBidi" w:hAnsiTheme="majorBidi" w:cstheme="majorBidi"/>
        </w:rPr>
        <w:t xml:space="preserve">(2006), </w:t>
      </w:r>
      <w:r w:rsidRPr="00EF3FA4">
        <w:rPr>
          <w:rFonts w:asciiTheme="majorBidi" w:hAnsiTheme="majorBidi" w:cstheme="majorBidi"/>
        </w:rPr>
        <w:t>h</w:t>
      </w:r>
      <w:r w:rsidRPr="00FF3EB3">
        <w:rPr>
          <w:rFonts w:asciiTheme="majorBidi" w:hAnsiTheme="majorBidi" w:cstheme="majorBidi"/>
        </w:rPr>
        <w:t xml:space="preserve">ttp://www.driadvocacy.org/wp-content/uploads/romania-May-9-final_with-photos.pdf </w:t>
      </w:r>
      <w:r w:rsidRPr="009E1C12">
        <w:rPr>
          <w:rFonts w:asciiTheme="majorBidi" w:hAnsiTheme="majorBidi" w:cstheme="majorBidi"/>
        </w:rPr>
        <w:t>(includes findings from institutions off the public record)</w:t>
      </w:r>
      <w:r>
        <w:rPr>
          <w:rFonts w:asciiTheme="majorBidi" w:hAnsiTheme="majorBidi" w:cstheme="majorBidi"/>
        </w:rPr>
        <w:t xml:space="preserve"> [hereinafter “DRI Romania Report”].</w:t>
      </w:r>
      <w:r w:rsidRPr="009E1C12">
        <w:rPr>
          <w:rFonts w:asciiTheme="majorBidi" w:hAnsiTheme="majorBidi" w:cstheme="majorBidi"/>
        </w:rPr>
        <w:t xml:space="preserve"> </w:t>
      </w:r>
    </w:p>
  </w:footnote>
  <w:footnote w:id="31">
    <w:p w14:paraId="5ED053B5" w14:textId="34E9840A" w:rsidR="001A3CF6" w:rsidRPr="00E01021"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Under the Guidelines for the Alternative Care, governments are under an obligation to ensure that a mechanism is in place to make decisions “[i]n situations where the child’s parents are absent or are incapable of making day-to-day decisions in the best interest of the child.” Guidelines</w:t>
      </w:r>
      <w:r w:rsidRPr="006F38B8">
        <w:rPr>
          <w:rFonts w:asciiTheme="majorBidi" w:hAnsiTheme="majorBidi" w:cstheme="majorBidi"/>
        </w:rPr>
        <w:t xml:space="preserve"> for Alternative Care</w:t>
      </w:r>
      <w:r w:rsidRPr="009E1C12">
        <w:rPr>
          <w:rFonts w:asciiTheme="majorBidi" w:hAnsiTheme="majorBidi" w:cstheme="majorBidi"/>
        </w:rPr>
        <w:t xml:space="preserve">, </w:t>
      </w:r>
      <w:r w:rsidRPr="009E1C12">
        <w:rPr>
          <w:rFonts w:asciiTheme="majorBidi" w:hAnsiTheme="majorBidi" w:cstheme="majorBidi"/>
          <w:i/>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_Ref464223651 \h </w:instrText>
      </w:r>
      <w:r w:rsidRPr="00FF3EB3">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20</w:t>
      </w:r>
      <w:r w:rsidRPr="009E1C12">
        <w:rPr>
          <w:rFonts w:asciiTheme="majorBidi" w:hAnsiTheme="majorBidi" w:cstheme="majorBidi"/>
        </w:rPr>
        <w:fldChar w:fldCharType="end"/>
      </w:r>
      <w:r w:rsidRPr="009E1C12">
        <w:rPr>
          <w:rFonts w:asciiTheme="majorBidi" w:hAnsiTheme="majorBidi" w:cstheme="majorBidi"/>
        </w:rPr>
        <w:t>, para.100.</w:t>
      </w:r>
      <w:r>
        <w:rPr>
          <w:rFonts w:asciiTheme="majorBidi" w:hAnsiTheme="majorBidi" w:cstheme="majorBidi"/>
        </w:rPr>
        <w:t xml:space="preserve">  The denial of choice and autonomy are the hallmarks of what constitutes “institutional culture.” European Commission Ad Hoc Expert Group on the Transition from Institutional to Community Care (2009), </w:t>
      </w:r>
      <w:r>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_Ref465943512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23</w:t>
      </w:r>
      <w:r>
        <w:rPr>
          <w:rFonts w:asciiTheme="majorBidi" w:hAnsiTheme="majorBidi" w:cstheme="majorBidi"/>
        </w:rPr>
        <w:fldChar w:fldCharType="end"/>
      </w:r>
      <w:r>
        <w:rPr>
          <w:rFonts w:asciiTheme="majorBidi" w:hAnsiTheme="majorBidi" w:cstheme="majorBidi"/>
        </w:rPr>
        <w:t xml:space="preserve"> at 9.</w:t>
      </w:r>
    </w:p>
  </w:footnote>
  <w:footnote w:id="32">
    <w:p w14:paraId="79281D4B" w14:textId="16C1B494" w:rsidR="001A3CF6" w:rsidRPr="009E1C12"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There is precedent under international la</w:t>
      </w:r>
      <w:r w:rsidRPr="006F38B8">
        <w:rPr>
          <w:rFonts w:asciiTheme="majorBidi" w:hAnsiTheme="majorBidi" w:cstheme="majorBidi"/>
        </w:rPr>
        <w:t>w</w:t>
      </w:r>
      <w:r w:rsidRPr="009E1C12">
        <w:rPr>
          <w:rFonts w:asciiTheme="majorBidi" w:hAnsiTheme="majorBidi" w:cstheme="majorBidi"/>
        </w:rPr>
        <w:t xml:space="preserve"> recognizing that placement in an institution is a form of detention whether or not there is any actual legal process -- and whether or not the individual expresses any objection to institutional placement. </w:t>
      </w:r>
      <w:r w:rsidRPr="009E1C12">
        <w:rPr>
          <w:rFonts w:asciiTheme="majorBidi" w:hAnsiTheme="majorBidi" w:cstheme="majorBidi"/>
          <w:i/>
        </w:rPr>
        <w:t>See</w:t>
      </w:r>
      <w:r w:rsidRPr="009E1C12">
        <w:rPr>
          <w:rFonts w:asciiTheme="majorBidi" w:hAnsiTheme="majorBidi" w:cstheme="majorBidi"/>
        </w:rPr>
        <w:t xml:space="preserve"> H.L. v. United Kingdom</w:t>
      </w:r>
      <w:r w:rsidRPr="006F38B8">
        <w:rPr>
          <w:rFonts w:asciiTheme="majorBidi" w:hAnsiTheme="majorBidi" w:cstheme="majorBidi"/>
        </w:rPr>
        <w:t>, App</w:t>
      </w:r>
      <w:r w:rsidRPr="00EF3FA4">
        <w:rPr>
          <w:rFonts w:asciiTheme="majorBidi" w:hAnsiTheme="majorBidi" w:cstheme="majorBidi"/>
        </w:rPr>
        <w:t>lication</w:t>
      </w:r>
      <w:r w:rsidRPr="00FF3EB3">
        <w:rPr>
          <w:rFonts w:asciiTheme="majorBidi" w:hAnsiTheme="majorBidi" w:cstheme="majorBidi"/>
        </w:rPr>
        <w:t xml:space="preserve"> no. </w:t>
      </w:r>
      <w:r w:rsidRPr="009E1C12">
        <w:rPr>
          <w:rFonts w:asciiTheme="majorBidi" w:hAnsiTheme="majorBidi" w:cstheme="majorBidi"/>
        </w:rPr>
        <w:t>45508</w:t>
      </w:r>
      <w:r w:rsidRPr="006F38B8">
        <w:rPr>
          <w:rFonts w:asciiTheme="majorBidi" w:hAnsiTheme="majorBidi" w:cstheme="majorBidi"/>
        </w:rPr>
        <w:t>/</w:t>
      </w:r>
      <w:r w:rsidRPr="009E1C12">
        <w:rPr>
          <w:rFonts w:asciiTheme="majorBidi" w:hAnsiTheme="majorBidi" w:cstheme="majorBidi"/>
        </w:rPr>
        <w:t>99</w:t>
      </w:r>
      <w:r w:rsidRPr="006F38B8">
        <w:rPr>
          <w:rFonts w:asciiTheme="majorBidi" w:hAnsiTheme="majorBidi" w:cstheme="majorBidi"/>
        </w:rPr>
        <w:t xml:space="preserve">, </w:t>
      </w:r>
      <w:r w:rsidRPr="00EF3FA4">
        <w:rPr>
          <w:rFonts w:asciiTheme="majorBidi" w:hAnsiTheme="majorBidi" w:cstheme="majorBidi"/>
        </w:rPr>
        <w:t>Eur. Ct. H.R.</w:t>
      </w:r>
      <w:r w:rsidRPr="00FF3EB3">
        <w:rPr>
          <w:rFonts w:asciiTheme="majorBidi" w:hAnsiTheme="majorBidi" w:cstheme="majorBidi"/>
        </w:rPr>
        <w:t xml:space="preserve"> (2004)</w:t>
      </w:r>
      <w:r w:rsidRPr="006F38B8">
        <w:rPr>
          <w:rFonts w:asciiTheme="majorBidi" w:hAnsiTheme="majorBidi" w:cstheme="majorBidi"/>
        </w:rPr>
        <w:t xml:space="preserve"> </w:t>
      </w:r>
      <w:r w:rsidRPr="009E1C12">
        <w:rPr>
          <w:rFonts w:asciiTheme="majorBidi" w:hAnsiTheme="majorBidi" w:cstheme="majorBidi"/>
        </w:rPr>
        <w:t>(the European Court of Human Rights ruled that “informal” placement in an institution without due process of a non-verbal man with autism constitutes a form of detention under the European Convention on Human Rights. The absence of procedural safeguards in this case was found to violate his right to liberty and security under article 5(1) of the ECHR).</w:t>
      </w:r>
    </w:p>
  </w:footnote>
  <w:footnote w:id="33">
    <w:p w14:paraId="5A6E2556" w14:textId="1FF36E54"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Cs/>
        </w:rPr>
        <w:t>Stanev v. Bulgaria</w:t>
      </w:r>
      <w:r w:rsidRPr="009E1C12">
        <w:rPr>
          <w:rFonts w:asciiTheme="majorBidi" w:hAnsiTheme="majorBidi" w:cstheme="majorBidi"/>
        </w:rPr>
        <w:t xml:space="preserve"> Application no. 36760/06 Eur. Ct. H.R. (2012).</w:t>
      </w:r>
    </w:p>
  </w:footnote>
  <w:footnote w:id="34">
    <w:p w14:paraId="12F8BE96" w14:textId="32B68A7E" w:rsidR="001A3CF6" w:rsidRPr="009E1C12" w:rsidRDefault="001A3CF6" w:rsidP="00B57B6A">
      <w:pPr>
        <w:spacing w:after="0" w:line="240" w:lineRule="auto"/>
        <w:rPr>
          <w:rFonts w:asciiTheme="majorBidi" w:hAnsiTheme="majorBidi" w:cstheme="majorBidi"/>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The Committee Against Torture has stated in General Comment 2 that: “Where State authorities or others acting in their official capacity committed, new or have reasonable grounds to believe that acts of torture or ill-treatment had been committed by non-state officials or private actors and failed to exercise due diligence to prevent, investigate, prosecute and punish such non-State officials or private actors in accordance with the Convention, the State bears responsibility to provide redress to victims.” UN Committee Against Torture (CAT), General Comment No. 2: Implementation of Article 2 by States Parties, 24 January 2008, </w:t>
      </w:r>
      <w:r w:rsidRPr="006F38B8">
        <w:rPr>
          <w:rFonts w:asciiTheme="majorBidi" w:hAnsiTheme="majorBidi" w:cstheme="majorBidi"/>
          <w:sz w:val="20"/>
          <w:szCs w:val="20"/>
        </w:rPr>
        <w:t>UN Doc. CAT/C/GC/2 (hereinafter, “General Comment No.2”)</w:t>
      </w:r>
      <w:r w:rsidRPr="009E1C12">
        <w:rPr>
          <w:rFonts w:asciiTheme="majorBidi" w:hAnsiTheme="majorBidi" w:cstheme="majorBidi"/>
          <w:sz w:val="20"/>
          <w:szCs w:val="20"/>
        </w:rPr>
        <w:t xml:space="preserve">: </w:t>
      </w:r>
      <w:hyperlink r:id="rId9" w:history="1">
        <w:r w:rsidRPr="00FD2755">
          <w:rPr>
            <w:rStyle w:val="Hyperlink"/>
            <w:rFonts w:asciiTheme="majorBidi" w:hAnsiTheme="majorBidi" w:cstheme="majorBidi"/>
            <w:sz w:val="20"/>
            <w:szCs w:val="20"/>
          </w:rPr>
          <w:t>http://www.refworld.org/docid/47ac78ce2.html</w:t>
        </w:r>
      </w:hyperlink>
      <w:r>
        <w:rPr>
          <w:rFonts w:asciiTheme="majorBidi" w:hAnsiTheme="majorBidi" w:cstheme="majorBidi"/>
          <w:sz w:val="20"/>
          <w:szCs w:val="20"/>
        </w:rPr>
        <w:t xml:space="preserve">. </w:t>
      </w:r>
    </w:p>
  </w:footnote>
  <w:footnote w:id="35">
    <w:p w14:paraId="06E738AF" w14:textId="53AF24DF" w:rsidR="001A3CF6" w:rsidRPr="009E1C12" w:rsidRDefault="001A3CF6" w:rsidP="00C351E4">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6F38B8">
        <w:rPr>
          <w:rFonts w:asciiTheme="majorBidi" w:hAnsiTheme="majorBidi" w:cstheme="majorBidi"/>
        </w:rPr>
        <w:t xml:space="preserve">UN </w:t>
      </w:r>
      <w:r w:rsidRPr="009E1C12">
        <w:rPr>
          <w:rFonts w:asciiTheme="majorBidi" w:hAnsiTheme="majorBidi" w:cstheme="majorBidi"/>
        </w:rPr>
        <w:t xml:space="preserve">Human Rights Committee, </w:t>
      </w:r>
      <w:r w:rsidRPr="009E1C12">
        <w:rPr>
          <w:rFonts w:asciiTheme="majorBidi" w:hAnsiTheme="majorBidi" w:cstheme="majorBidi"/>
          <w:i/>
          <w:iCs/>
        </w:rPr>
        <w:t>CCPR General Comment No. 20: Article 7 (Prohibition of Torture or cruel, inhuman, or degrading treatment or punishment</w:t>
      </w:r>
      <w:r w:rsidRPr="006F38B8">
        <w:rPr>
          <w:rFonts w:asciiTheme="majorBidi" w:hAnsiTheme="majorBidi" w:cstheme="majorBidi"/>
          <w:i/>
        </w:rPr>
        <w:t>)</w:t>
      </w:r>
      <w:r w:rsidRPr="009E1C12">
        <w:rPr>
          <w:rFonts w:asciiTheme="majorBidi" w:hAnsiTheme="majorBidi" w:cstheme="majorBidi"/>
        </w:rPr>
        <w:t>, U.N. Doc HRI/GEN/1/Rev.1 (Mar.10, 1992), para</w:t>
      </w:r>
      <w:r w:rsidRPr="006F38B8">
        <w:rPr>
          <w:rFonts w:asciiTheme="majorBidi" w:hAnsiTheme="majorBidi" w:cstheme="majorBidi"/>
        </w:rPr>
        <w:t>s</w:t>
      </w:r>
      <w:r w:rsidRPr="009E1C12">
        <w:rPr>
          <w:rFonts w:asciiTheme="majorBidi" w:hAnsiTheme="majorBidi" w:cstheme="majorBidi"/>
        </w:rPr>
        <w:t>. 11 &amp; 28.</w:t>
      </w:r>
    </w:p>
  </w:footnote>
  <w:footnote w:id="36">
    <w:p w14:paraId="6F764FB0" w14:textId="20908D15" w:rsidR="001A3CF6" w:rsidRPr="009E1C12" w:rsidRDefault="001A3CF6" w:rsidP="00DA3AD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These obligations go beyond a requirement to contribute toward economic and social rights but also include cooperation that impacts on “all rights including civil and political rights.”  Office of the High Commission on Human Rights</w:t>
      </w:r>
      <w:r w:rsidRPr="009E1C12">
        <w:rPr>
          <w:rFonts w:asciiTheme="majorBidi" w:hAnsiTheme="majorBidi" w:cstheme="majorBidi"/>
          <w:i/>
        </w:rPr>
        <w:t xml:space="preserve">, </w:t>
      </w:r>
      <w:r w:rsidRPr="009E1C12">
        <w:rPr>
          <w:rFonts w:asciiTheme="majorBidi" w:hAnsiTheme="majorBidi" w:cstheme="majorBidi"/>
          <w:i/>
          <w:iCs/>
        </w:rPr>
        <w:t>Thematic study on the role of international cooperation in support of national efforts for the realization of the rights of persons with disabilities</w:t>
      </w:r>
      <w:r w:rsidRPr="009E1C12">
        <w:rPr>
          <w:rFonts w:asciiTheme="majorBidi" w:hAnsiTheme="majorBidi" w:cstheme="majorBidi"/>
        </w:rPr>
        <w:t xml:space="preserve">, </w:t>
      </w:r>
      <w:r w:rsidRPr="006F38B8">
        <w:rPr>
          <w:rFonts w:asciiTheme="majorBidi" w:hAnsiTheme="majorBidi" w:cstheme="majorBidi"/>
        </w:rPr>
        <w:t xml:space="preserve">U.N. Doc. </w:t>
      </w:r>
      <w:r w:rsidRPr="009E1C12">
        <w:rPr>
          <w:rFonts w:asciiTheme="majorBidi" w:hAnsiTheme="majorBidi" w:cstheme="majorBidi"/>
        </w:rPr>
        <w:t>A/HRC/16/38, December 20, 2010, para.</w:t>
      </w:r>
      <w:r w:rsidRPr="006F38B8">
        <w:rPr>
          <w:rFonts w:asciiTheme="majorBidi" w:hAnsiTheme="majorBidi" w:cstheme="majorBidi"/>
        </w:rPr>
        <w:t xml:space="preserve"> </w:t>
      </w:r>
      <w:r w:rsidRPr="009E1C12">
        <w:rPr>
          <w:rFonts w:asciiTheme="majorBidi" w:hAnsiTheme="majorBidi" w:cstheme="majorBidi"/>
        </w:rPr>
        <w:t xml:space="preserve">5.  </w:t>
      </w:r>
      <w:r w:rsidRPr="009E1C12">
        <w:rPr>
          <w:rFonts w:asciiTheme="majorBidi" w:hAnsiTheme="majorBidi" w:cstheme="majorBidi"/>
          <w:i/>
        </w:rPr>
        <w:t xml:space="preserve">See also </w:t>
      </w:r>
      <w:r w:rsidRPr="009E1C12">
        <w:rPr>
          <w:rFonts w:asciiTheme="majorBidi" w:hAnsiTheme="majorBidi" w:cstheme="majorBidi"/>
          <w:iCs/>
        </w:rPr>
        <w:t xml:space="preserve">European Commission, </w:t>
      </w:r>
      <w:r w:rsidRPr="009E1C12">
        <w:rPr>
          <w:rFonts w:asciiTheme="majorBidi" w:hAnsiTheme="majorBidi" w:cstheme="majorBidi"/>
        </w:rPr>
        <w:t xml:space="preserve">Directorate-General for External Policies, </w:t>
      </w:r>
      <w:r w:rsidRPr="009E1C12">
        <w:rPr>
          <w:rFonts w:asciiTheme="majorBidi" w:hAnsiTheme="majorBidi" w:cstheme="majorBidi"/>
          <w:i/>
          <w:iCs/>
        </w:rPr>
        <w:t>Implementation of the UN Convention on the Rights of Persons with Disabilities in the EU External Relations</w:t>
      </w:r>
      <w:r w:rsidRPr="009E1C12">
        <w:rPr>
          <w:rFonts w:asciiTheme="majorBidi" w:hAnsiTheme="majorBidi" w:cstheme="majorBidi"/>
          <w:i/>
        </w:rPr>
        <w:t xml:space="preserve">, </w:t>
      </w:r>
      <w:r w:rsidRPr="009E1C12">
        <w:rPr>
          <w:rFonts w:asciiTheme="majorBidi" w:hAnsiTheme="majorBidi" w:cstheme="majorBidi"/>
        </w:rPr>
        <w:t>(2013) (describing the obligations on the EU imposed by CRPD article 32 to protect disability rights as part of its international assistance projects).</w:t>
      </w:r>
    </w:p>
  </w:footnote>
  <w:footnote w:id="37">
    <w:p w14:paraId="6DAC0010" w14:textId="656417DD"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rPr>
        <w:t xml:space="preserve"> at</w:t>
      </w:r>
      <w:r w:rsidRPr="006F38B8">
        <w:rPr>
          <w:rFonts w:asciiTheme="majorBidi" w:hAnsiTheme="majorBidi" w:cstheme="majorBidi"/>
        </w:rPr>
        <w:t xml:space="preserve"> </w:t>
      </w:r>
      <w:r w:rsidRPr="009E1C12">
        <w:rPr>
          <w:rFonts w:asciiTheme="majorBidi" w:hAnsiTheme="majorBidi" w:cstheme="majorBidi"/>
        </w:rPr>
        <w:t>7.</w:t>
      </w:r>
    </w:p>
  </w:footnote>
  <w:footnote w:id="38">
    <w:p w14:paraId="5E062BC3" w14:textId="7258595F"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APT &amp; CEJIL (2008), </w:t>
      </w:r>
      <w:r w:rsidRPr="009E1C12">
        <w:rPr>
          <w:rFonts w:asciiTheme="majorBidi" w:hAnsiTheme="majorBidi" w:cstheme="majorBidi"/>
          <w:i/>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_Ref339826997 \h </w:instrText>
      </w:r>
      <w:r w:rsidRPr="00FF3EB3">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14</w:t>
      </w:r>
      <w:r w:rsidRPr="009E1C12">
        <w:rPr>
          <w:rFonts w:asciiTheme="majorBidi" w:hAnsiTheme="majorBidi" w:cstheme="majorBidi"/>
        </w:rPr>
        <w:fldChar w:fldCharType="end"/>
      </w:r>
      <w:r w:rsidRPr="009E1C12">
        <w:rPr>
          <w:rFonts w:asciiTheme="majorBidi" w:hAnsiTheme="majorBidi" w:cstheme="majorBidi"/>
        </w:rPr>
        <w:t>, at 6.</w:t>
      </w:r>
    </w:p>
  </w:footnote>
  <w:footnote w:id="39">
    <w:p w14:paraId="1D94688C" w14:textId="7745A28F"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CAT, articles 4 and 7.  </w:t>
      </w:r>
      <w:r w:rsidRPr="009E1C12">
        <w:rPr>
          <w:rFonts w:asciiTheme="majorBidi" w:hAnsiTheme="majorBidi" w:cstheme="majorBidi"/>
          <w:i/>
        </w:rPr>
        <w:t>See</w:t>
      </w:r>
      <w:r w:rsidRPr="009E1C12">
        <w:rPr>
          <w:rFonts w:asciiTheme="majorBidi" w:hAnsiTheme="majorBidi" w:cstheme="majorBidi"/>
        </w:rPr>
        <w:t xml:space="preserve"> discussion in APT and CEJIL</w:t>
      </w:r>
      <w:r w:rsidRPr="006F38B8">
        <w:rPr>
          <w:rFonts w:asciiTheme="majorBidi" w:hAnsiTheme="majorBidi" w:cstheme="majorBidi"/>
        </w:rPr>
        <w:t xml:space="preserve"> (2008)</w:t>
      </w:r>
      <w:r w:rsidRPr="009E1C12">
        <w:rPr>
          <w:rFonts w:asciiTheme="majorBidi" w:hAnsiTheme="majorBidi" w:cstheme="majorBidi"/>
        </w:rPr>
        <w:t xml:space="preserve">, </w:t>
      </w:r>
      <w:r w:rsidRPr="009E1C12">
        <w:rPr>
          <w:rFonts w:asciiTheme="majorBidi" w:hAnsiTheme="majorBidi" w:cstheme="majorBidi"/>
          <w:i/>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_Ref339826997 \h </w:instrText>
      </w:r>
      <w:r w:rsidRPr="00FF3EB3">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14</w:t>
      </w:r>
      <w:r w:rsidRPr="009E1C12">
        <w:rPr>
          <w:rFonts w:asciiTheme="majorBidi" w:hAnsiTheme="majorBidi" w:cstheme="majorBidi"/>
        </w:rPr>
        <w:fldChar w:fldCharType="end"/>
      </w:r>
      <w:r w:rsidRPr="009E1C12">
        <w:rPr>
          <w:rFonts w:asciiTheme="majorBidi" w:hAnsiTheme="majorBidi" w:cstheme="majorBidi"/>
        </w:rPr>
        <w:t>, at 18 (summarizing the Committee Against Torture’s rulings on the extra-territorial application of these provisions).</w:t>
      </w:r>
    </w:p>
  </w:footnote>
  <w:footnote w:id="40">
    <w:p w14:paraId="2101523C" w14:textId="4BF46B40" w:rsidR="001A3CF6" w:rsidRPr="009E1C12" w:rsidRDefault="001A3CF6" w:rsidP="00A30FC5">
      <w:pPr>
        <w:spacing w:after="0" w:line="240" w:lineRule="auto"/>
        <w:jc w:val="both"/>
        <w:rPr>
          <w:rFonts w:asciiTheme="majorBidi"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w:t>
      </w:r>
      <w:r w:rsidRPr="009E1C12">
        <w:rPr>
          <w:rFonts w:asciiTheme="majorBidi" w:hAnsiTheme="majorBidi" w:cstheme="majorBidi"/>
          <w:i/>
          <w:sz w:val="20"/>
          <w:szCs w:val="20"/>
        </w:rPr>
        <w:t>Id.</w:t>
      </w:r>
      <w:r>
        <w:rPr>
          <w:rFonts w:asciiTheme="majorBidi" w:hAnsiTheme="majorBidi" w:cstheme="majorBidi"/>
          <w:sz w:val="20"/>
          <w:szCs w:val="20"/>
        </w:rPr>
        <w:t xml:space="preserve"> at</w:t>
      </w:r>
      <w:r w:rsidRPr="006F38B8">
        <w:rPr>
          <w:rFonts w:asciiTheme="majorBidi" w:hAnsiTheme="majorBidi" w:cstheme="majorBidi"/>
          <w:sz w:val="20"/>
          <w:szCs w:val="20"/>
        </w:rPr>
        <w:t xml:space="preserve"> </w:t>
      </w:r>
      <w:r w:rsidRPr="009E1C12">
        <w:rPr>
          <w:rFonts w:asciiTheme="majorBidi" w:hAnsiTheme="majorBidi" w:cstheme="majorBidi"/>
          <w:sz w:val="20"/>
          <w:szCs w:val="20"/>
        </w:rPr>
        <w:t>21.</w:t>
      </w:r>
    </w:p>
  </w:footnote>
  <w:footnote w:id="41">
    <w:p w14:paraId="174B41A3" w14:textId="2258D17E" w:rsidR="001A3CF6" w:rsidRPr="00E513A9" w:rsidRDefault="001A3CF6" w:rsidP="00B57B6A">
      <w:pPr>
        <w:spacing w:after="0" w:line="240" w:lineRule="auto"/>
        <w:rPr>
          <w:rFonts w:asciiTheme="majorBidi"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w:t>
      </w:r>
      <w:r>
        <w:rPr>
          <w:rFonts w:asciiTheme="majorBidi" w:hAnsiTheme="majorBidi" w:cstheme="majorBidi"/>
          <w:sz w:val="20"/>
          <w:szCs w:val="20"/>
        </w:rPr>
        <w:t xml:space="preserve">For the definition of what constitutes an institution, </w:t>
      </w:r>
      <w:r>
        <w:rPr>
          <w:rFonts w:asciiTheme="majorBidi" w:hAnsiTheme="majorBidi" w:cstheme="majorBidi"/>
          <w:i/>
          <w:sz w:val="20"/>
          <w:szCs w:val="20"/>
        </w:rPr>
        <w:t xml:space="preserve">see </w:t>
      </w:r>
      <w:r>
        <w:rPr>
          <w:rFonts w:asciiTheme="majorBidi" w:hAnsiTheme="majorBidi" w:cstheme="majorBidi"/>
          <w:sz w:val="20"/>
          <w:szCs w:val="20"/>
        </w:rPr>
        <w:t xml:space="preserve">notes </w:t>
      </w:r>
      <w:r>
        <w:rPr>
          <w:rFonts w:asciiTheme="majorBidi" w:hAnsiTheme="majorBidi" w:cstheme="majorBidi"/>
          <w:sz w:val="20"/>
          <w:szCs w:val="20"/>
        </w:rPr>
        <w:fldChar w:fldCharType="begin"/>
      </w:r>
      <w:r>
        <w:rPr>
          <w:rFonts w:asciiTheme="majorBidi" w:hAnsiTheme="majorBidi" w:cstheme="majorBidi"/>
          <w:sz w:val="20"/>
          <w:szCs w:val="20"/>
        </w:rPr>
        <w:instrText xml:space="preserve"> NOTEREF _Ref465943512 \h </w:instrText>
      </w:r>
      <w:r>
        <w:rPr>
          <w:rFonts w:asciiTheme="majorBidi" w:hAnsiTheme="majorBidi" w:cstheme="majorBidi"/>
          <w:sz w:val="20"/>
          <w:szCs w:val="20"/>
        </w:rPr>
      </w:r>
      <w:r>
        <w:rPr>
          <w:rFonts w:asciiTheme="majorBidi" w:hAnsiTheme="majorBidi" w:cstheme="majorBidi"/>
          <w:sz w:val="20"/>
          <w:szCs w:val="20"/>
        </w:rPr>
        <w:fldChar w:fldCharType="separate"/>
      </w:r>
      <w:r>
        <w:rPr>
          <w:rFonts w:asciiTheme="majorBidi" w:hAnsiTheme="majorBidi" w:cstheme="majorBidi"/>
          <w:sz w:val="20"/>
          <w:szCs w:val="20"/>
        </w:rPr>
        <w:t>23</w:t>
      </w:r>
      <w:r>
        <w:rPr>
          <w:rFonts w:asciiTheme="majorBidi" w:hAnsiTheme="majorBidi" w:cstheme="majorBidi"/>
          <w:sz w:val="20"/>
          <w:szCs w:val="20"/>
        </w:rPr>
        <w:fldChar w:fldCharType="end"/>
      </w:r>
      <w:r>
        <w:rPr>
          <w:rFonts w:asciiTheme="majorBidi" w:hAnsiTheme="majorBidi" w:cstheme="majorBidi"/>
          <w:sz w:val="20"/>
          <w:szCs w:val="20"/>
        </w:rPr>
        <w:t xml:space="preserve"> to </w:t>
      </w:r>
      <w:r>
        <w:rPr>
          <w:rFonts w:asciiTheme="majorBidi" w:hAnsiTheme="majorBidi" w:cstheme="majorBidi"/>
          <w:sz w:val="20"/>
          <w:szCs w:val="20"/>
        </w:rPr>
        <w:fldChar w:fldCharType="begin"/>
      </w:r>
      <w:r>
        <w:rPr>
          <w:rFonts w:asciiTheme="majorBidi" w:hAnsiTheme="majorBidi" w:cstheme="majorBidi"/>
          <w:sz w:val="20"/>
          <w:szCs w:val="20"/>
        </w:rPr>
        <w:instrText xml:space="preserve"> NOTEREF _Ref471308786 \h </w:instrText>
      </w:r>
      <w:r>
        <w:rPr>
          <w:rFonts w:asciiTheme="majorBidi" w:hAnsiTheme="majorBidi" w:cstheme="majorBidi"/>
          <w:sz w:val="20"/>
          <w:szCs w:val="20"/>
        </w:rPr>
      </w:r>
      <w:r>
        <w:rPr>
          <w:rFonts w:asciiTheme="majorBidi" w:hAnsiTheme="majorBidi" w:cstheme="majorBidi"/>
          <w:sz w:val="20"/>
          <w:szCs w:val="20"/>
        </w:rPr>
        <w:fldChar w:fldCharType="separate"/>
      </w:r>
      <w:r>
        <w:rPr>
          <w:rFonts w:asciiTheme="majorBidi" w:hAnsiTheme="majorBidi" w:cstheme="majorBidi"/>
          <w:sz w:val="20"/>
          <w:szCs w:val="20"/>
        </w:rPr>
        <w:t>25</w:t>
      </w:r>
      <w:r>
        <w:rPr>
          <w:rFonts w:asciiTheme="majorBidi" w:hAnsiTheme="majorBidi" w:cstheme="majorBidi"/>
          <w:sz w:val="20"/>
          <w:szCs w:val="20"/>
        </w:rPr>
        <w:fldChar w:fldCharType="end"/>
      </w:r>
      <w:r>
        <w:rPr>
          <w:rFonts w:asciiTheme="majorBidi" w:hAnsiTheme="majorBidi" w:cstheme="majorBidi"/>
          <w:sz w:val="20"/>
          <w:szCs w:val="20"/>
        </w:rPr>
        <w:t xml:space="preserve"> </w:t>
      </w:r>
      <w:r>
        <w:rPr>
          <w:rFonts w:asciiTheme="majorBidi" w:hAnsiTheme="majorBidi" w:cstheme="majorBidi"/>
          <w:i/>
          <w:sz w:val="20"/>
          <w:szCs w:val="20"/>
        </w:rPr>
        <w:t xml:space="preserve">supra. </w:t>
      </w:r>
      <w:r>
        <w:rPr>
          <w:rFonts w:asciiTheme="majorBidi" w:hAnsiTheme="majorBidi" w:cstheme="majorBidi"/>
          <w:sz w:val="20"/>
          <w:szCs w:val="20"/>
        </w:rPr>
        <w:t xml:space="preserve"> </w:t>
      </w:r>
      <w:r w:rsidRPr="009E1C12">
        <w:rPr>
          <w:rFonts w:asciiTheme="majorBidi" w:hAnsiTheme="majorBidi" w:cstheme="majorBidi"/>
          <w:sz w:val="20"/>
          <w:szCs w:val="20"/>
        </w:rPr>
        <w:t xml:space="preserve">The legal scope of “children in detention” and the definitions used by the Guidelines for Alternative Care are analyzed further in sections II </w:t>
      </w:r>
      <w:r w:rsidRPr="00AD11B7">
        <w:rPr>
          <w:rFonts w:asciiTheme="majorBidi" w:hAnsiTheme="majorBidi" w:cstheme="majorBidi"/>
          <w:sz w:val="20"/>
          <w:szCs w:val="20"/>
        </w:rPr>
        <w:t xml:space="preserve">and </w:t>
      </w:r>
      <w:r w:rsidRPr="00B57B6A">
        <w:rPr>
          <w:rFonts w:asciiTheme="majorBidi" w:hAnsiTheme="majorBidi" w:cstheme="majorBidi"/>
          <w:sz w:val="20"/>
          <w:szCs w:val="20"/>
        </w:rPr>
        <w:t>IV</w:t>
      </w:r>
      <w:r w:rsidRPr="00AD11B7">
        <w:rPr>
          <w:rFonts w:asciiTheme="majorBidi" w:hAnsiTheme="majorBidi" w:cstheme="majorBidi"/>
          <w:sz w:val="20"/>
          <w:szCs w:val="20"/>
        </w:rPr>
        <w:t xml:space="preserve"> below</w:t>
      </w:r>
      <w:r w:rsidRPr="00E513A9">
        <w:rPr>
          <w:rFonts w:asciiTheme="majorBidi" w:hAnsiTheme="majorBidi" w:cstheme="majorBidi"/>
          <w:sz w:val="20"/>
          <w:szCs w:val="20"/>
        </w:rPr>
        <w:t>.</w:t>
      </w:r>
    </w:p>
  </w:footnote>
  <w:footnote w:id="42">
    <w:p w14:paraId="55DEFC88" w14:textId="3A3EFB65" w:rsidR="001A3CF6" w:rsidRPr="00E513A9" w:rsidRDefault="001A3CF6" w:rsidP="00C63257">
      <w:pPr>
        <w:pStyle w:val="FootnoteText"/>
        <w:rPr>
          <w:rFonts w:asciiTheme="majorBidi" w:hAnsiTheme="majorBidi" w:cstheme="majorBidi"/>
          <w:b/>
        </w:rPr>
      </w:pPr>
      <w:r w:rsidRPr="00E513A9">
        <w:rPr>
          <w:rStyle w:val="FootnoteReference"/>
          <w:rFonts w:asciiTheme="majorBidi" w:hAnsiTheme="majorBidi" w:cstheme="majorBidi"/>
        </w:rPr>
        <w:footnoteRef/>
      </w:r>
      <w:r w:rsidRPr="00E513A9">
        <w:rPr>
          <w:rFonts w:asciiTheme="majorBidi" w:hAnsiTheme="majorBidi" w:cstheme="majorBidi"/>
        </w:rPr>
        <w:t xml:space="preserve"> </w:t>
      </w:r>
      <w:r w:rsidRPr="00B57B6A">
        <w:rPr>
          <w:rFonts w:asciiTheme="majorBidi" w:hAnsiTheme="majorBidi" w:cstheme="majorBidi"/>
        </w:rPr>
        <w:t xml:space="preserve">UN Secretary-General, Rights of the Child: Note by the Secretary-General, </w:t>
      </w:r>
      <w:r w:rsidRPr="00E513A9">
        <w:rPr>
          <w:rFonts w:asciiTheme="majorBidi" w:hAnsiTheme="majorBidi" w:cstheme="majorBidi"/>
        </w:rPr>
        <w:t>U.N. Doc A/61/299 (Aug.29, 2006), para. 55.</w:t>
      </w:r>
    </w:p>
  </w:footnote>
  <w:footnote w:id="43">
    <w:p w14:paraId="668AE0A5" w14:textId="65E5E354" w:rsidR="001A3CF6" w:rsidRPr="009E1C12" w:rsidRDefault="001A3CF6" w:rsidP="00210980">
      <w:pPr>
        <w:pStyle w:val="FootnoteText"/>
        <w:rPr>
          <w:rFonts w:asciiTheme="majorBidi" w:hAnsiTheme="majorBidi" w:cstheme="majorBidi"/>
          <w:smallCaps/>
        </w:rPr>
      </w:pPr>
      <w:r w:rsidRPr="00E513A9">
        <w:rPr>
          <w:rStyle w:val="FootnoteReference"/>
          <w:rFonts w:asciiTheme="majorBidi" w:hAnsiTheme="majorBidi" w:cstheme="majorBidi"/>
        </w:rPr>
        <w:footnoteRef/>
      </w:r>
      <w:r w:rsidRPr="00E513A9">
        <w:rPr>
          <w:rFonts w:asciiTheme="majorBidi" w:hAnsiTheme="majorBidi" w:cstheme="majorBidi"/>
        </w:rPr>
        <w:t xml:space="preserve"> Save the Children, </w:t>
      </w:r>
      <w:r w:rsidRPr="00E513A9">
        <w:rPr>
          <w:rFonts w:asciiTheme="majorBidi" w:hAnsiTheme="majorBidi" w:cstheme="majorBidi"/>
          <w:smallCaps/>
        </w:rPr>
        <w:t>Keeping Children Out of Harmful Institutions: Why We Should be Investing in Family-Based Care (2009) 3-4.</w:t>
      </w:r>
      <w:r w:rsidRPr="009E1C12">
        <w:rPr>
          <w:rFonts w:asciiTheme="majorBidi" w:hAnsiTheme="majorBidi" w:cstheme="majorBidi"/>
        </w:rPr>
        <w:t xml:space="preserve"> </w:t>
      </w:r>
    </w:p>
  </w:footnote>
  <w:footnote w:id="44">
    <w:p w14:paraId="78D901B7" w14:textId="5439C47D" w:rsidR="001A3CF6" w:rsidRPr="009E1C12" w:rsidRDefault="001A3CF6" w:rsidP="00B0295A">
      <w:pPr>
        <w:pStyle w:val="FootnoteText"/>
        <w:rPr>
          <w:rFonts w:asciiTheme="majorBidi" w:hAnsiTheme="majorBidi" w:cstheme="majorBidi"/>
          <w:smallCaps/>
        </w:rPr>
      </w:pPr>
      <w:r w:rsidRPr="009E1C12">
        <w:rPr>
          <w:rStyle w:val="FootnoteReference"/>
          <w:rFonts w:asciiTheme="majorBidi" w:hAnsiTheme="majorBidi" w:cstheme="majorBidi"/>
        </w:rPr>
        <w:footnoteRef/>
      </w:r>
      <w:r w:rsidRPr="009E1C12">
        <w:rPr>
          <w:rFonts w:asciiTheme="majorBidi" w:hAnsiTheme="majorBidi" w:cstheme="majorBidi"/>
        </w:rPr>
        <w:t xml:space="preserve"> In Romania, </w:t>
      </w:r>
      <w:r>
        <w:rPr>
          <w:rFonts w:asciiTheme="majorBidi" w:hAnsiTheme="majorBidi" w:cstheme="majorBidi"/>
        </w:rPr>
        <w:t xml:space="preserve">for example, </w:t>
      </w:r>
      <w:r w:rsidRPr="009E1C12">
        <w:rPr>
          <w:rFonts w:asciiTheme="majorBidi" w:hAnsiTheme="majorBidi" w:cstheme="majorBidi"/>
        </w:rPr>
        <w:t>the government adopted a no-new-admission policy for children 0-3 as part of the country’s effort to gain accession to the European Union. DRI found infants in an institution off the public record</w:t>
      </w:r>
      <w:r w:rsidRPr="00EF3FA4">
        <w:rPr>
          <w:rFonts w:asciiTheme="majorBidi" w:hAnsiTheme="majorBidi" w:cstheme="majorBidi"/>
        </w:rPr>
        <w:t xml:space="preserve">, see </w:t>
      </w:r>
      <w:r w:rsidRPr="00B57B6A">
        <w:rPr>
          <w:rFonts w:asciiTheme="majorBidi" w:hAnsiTheme="majorBidi" w:cstheme="majorBidi"/>
          <w:i/>
          <w:iCs/>
        </w:rPr>
        <w:t>supra</w:t>
      </w:r>
      <w:r w:rsidRPr="00B57B6A">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_Ref471314320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30</w:t>
      </w:r>
      <w:r>
        <w:rPr>
          <w:rFonts w:asciiTheme="majorBidi" w:hAnsiTheme="majorBidi" w:cstheme="majorBidi"/>
        </w:rPr>
        <w:fldChar w:fldCharType="end"/>
      </w:r>
      <w:r w:rsidRPr="002D1927">
        <w:rPr>
          <w:rFonts w:asciiTheme="majorBidi" w:hAnsiTheme="majorBidi" w:cstheme="majorBidi"/>
        </w:rPr>
        <w:t>,</w:t>
      </w:r>
      <w:r w:rsidRPr="00CB4F78">
        <w:rPr>
          <w:rFonts w:asciiTheme="majorBidi" w:hAnsiTheme="majorBidi" w:cstheme="majorBidi"/>
        </w:rPr>
        <w:t xml:space="preserve"> </w:t>
      </w:r>
      <w:r>
        <w:rPr>
          <w:rFonts w:asciiTheme="majorBidi" w:hAnsiTheme="majorBidi" w:cstheme="majorBidi"/>
        </w:rPr>
        <w:t>DRI Romania Report</w:t>
      </w:r>
      <w:r w:rsidRPr="009E1C12">
        <w:rPr>
          <w:rFonts w:asciiTheme="majorBidi" w:hAnsiTheme="majorBidi" w:cstheme="majorBidi"/>
        </w:rPr>
        <w:t>. In Mexico, DRI also found children in institutions off the public record. In addition, there were a number of cases where children disappeared from institutions and were later found to have been trafficked. National authorities told DRI investigators that they had no idea how many children were in public or private institutions throughout the country, characterizing their own system as “a black hole</w:t>
      </w:r>
      <w:r>
        <w:rPr>
          <w:rFonts w:asciiTheme="majorBidi" w:hAnsiTheme="majorBidi" w:cstheme="majorBidi"/>
        </w:rPr>
        <w:t xml:space="preserve">.” DRI Mexico (2010), </w:t>
      </w:r>
      <w:r>
        <w:rPr>
          <w:rFonts w:asciiTheme="majorBidi" w:hAnsiTheme="majorBidi" w:cstheme="majorBidi"/>
          <w:i/>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_Ref471314320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30</w:t>
      </w:r>
      <w:r>
        <w:rPr>
          <w:rFonts w:asciiTheme="majorBidi" w:hAnsiTheme="majorBidi" w:cstheme="majorBidi"/>
        </w:rPr>
        <w:fldChar w:fldCharType="end"/>
      </w:r>
      <w:r>
        <w:rPr>
          <w:rFonts w:asciiTheme="majorBidi" w:hAnsiTheme="majorBidi" w:cstheme="majorBidi"/>
        </w:rPr>
        <w:t xml:space="preserve">, at 23. </w:t>
      </w:r>
      <w:r w:rsidRPr="009E1C12">
        <w:rPr>
          <w:rFonts w:asciiTheme="majorBidi" w:hAnsiTheme="majorBidi" w:cstheme="majorBidi"/>
          <w:i/>
        </w:rPr>
        <w:t xml:space="preserve">See also </w:t>
      </w:r>
      <w:r w:rsidRPr="009E1C12">
        <w:rPr>
          <w:rFonts w:asciiTheme="majorBidi" w:hAnsiTheme="majorBidi" w:cstheme="majorBidi"/>
        </w:rPr>
        <w:t xml:space="preserve">DRI reports on Uruguay (1995),  Hungary (1997), Russia (1999), Mexico (2000, 2010, 2013, and 2015), Kosovo (2002), Peru (2004), Turkey (2005), Argentina (2007), Serbia (2008), Vietnam (2009), United States (2011), Guatemala (precautionary measures petition 2013), Republic of Georgia (2013), Ukraine (2015). </w:t>
      </w:r>
      <w:r>
        <w:rPr>
          <w:rFonts w:asciiTheme="majorBidi" w:hAnsiTheme="majorBidi" w:cstheme="majorBidi"/>
        </w:rPr>
        <w:t xml:space="preserve">Mental Disability Rights International (MDRI) changed its name to Disability Rights International (DRI) in 2010. </w:t>
      </w:r>
      <w:r w:rsidRPr="009E1C12">
        <w:rPr>
          <w:rFonts w:asciiTheme="majorBidi" w:hAnsiTheme="majorBidi" w:cstheme="majorBidi"/>
        </w:rPr>
        <w:t>All DRI reports (including those published as MDRI) are posted at www.DRIadvocacy.org.</w:t>
      </w:r>
    </w:p>
  </w:footnote>
  <w:footnote w:id="45">
    <w:p w14:paraId="474CAB12" w14:textId="188E2A67" w:rsidR="001A3CF6" w:rsidRPr="00E0382F" w:rsidRDefault="001A3CF6" w:rsidP="004A3B5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w:t>
      </w:r>
      <w:r w:rsidRPr="009E1C12">
        <w:rPr>
          <w:rFonts w:asciiTheme="majorBidi" w:hAnsiTheme="majorBidi" w:cstheme="majorBidi"/>
        </w:rPr>
        <w:t xml:space="preserve">Foreign Ministry of Sweden (2011), </w:t>
      </w:r>
      <w:r w:rsidRPr="009E1C12">
        <w:rPr>
          <w:rFonts w:asciiTheme="majorBidi" w:hAnsiTheme="majorBidi" w:cstheme="majorBidi"/>
          <w:i/>
          <w:iCs/>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_Ref464126366 \h </w:instrText>
      </w:r>
      <w:r w:rsidRPr="00FF3EB3">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18</w:t>
      </w:r>
      <w:r w:rsidRPr="009E1C12">
        <w:rPr>
          <w:rFonts w:asciiTheme="majorBidi" w:hAnsiTheme="majorBidi" w:cstheme="majorBidi"/>
        </w:rPr>
        <w:fldChar w:fldCharType="end"/>
      </w:r>
      <w:r w:rsidRPr="009E1C12">
        <w:rPr>
          <w:rFonts w:asciiTheme="majorBidi" w:hAnsiTheme="majorBidi" w:cstheme="majorBidi"/>
        </w:rPr>
        <w:t xml:space="preserve">; </w:t>
      </w:r>
      <w:r w:rsidRPr="009E1C12">
        <w:rPr>
          <w:rFonts w:asciiTheme="majorBidi" w:hAnsiTheme="majorBidi" w:cstheme="majorBidi"/>
          <w:smallCaps/>
        </w:rPr>
        <w:t>Stuck</w:t>
      </w:r>
      <w:r w:rsidRPr="00FF3EB3">
        <w:rPr>
          <w:rFonts w:asciiTheme="majorBidi" w:hAnsiTheme="majorBidi" w:cstheme="majorBidi"/>
          <w:smallCaps/>
        </w:rPr>
        <w:t xml:space="preserve"> (</w:t>
      </w:r>
      <w:r w:rsidRPr="00FF3EB3">
        <w:rPr>
          <w:rFonts w:asciiTheme="majorBidi" w:hAnsiTheme="majorBidi" w:cstheme="majorBidi"/>
        </w:rPr>
        <w:t>Both Ends Burning, 2012)</w:t>
      </w:r>
      <w:r w:rsidRPr="00EF3FA4">
        <w:rPr>
          <w:rFonts w:asciiTheme="majorBidi" w:hAnsiTheme="majorBidi" w:cstheme="majorBidi"/>
        </w:rPr>
        <w:t xml:space="preserve"> </w:t>
      </w:r>
      <w:r w:rsidRPr="009E1C12">
        <w:rPr>
          <w:rFonts w:asciiTheme="majorBidi" w:hAnsiTheme="majorBidi" w:cstheme="majorBidi"/>
        </w:rPr>
        <w:t>(documentary exploring the impact of international adoption</w:t>
      </w:r>
      <w:r w:rsidRPr="00E0382F">
        <w:rPr>
          <w:rFonts w:asciiTheme="majorBidi" w:hAnsiTheme="majorBidi" w:cstheme="majorBidi"/>
        </w:rPr>
        <w:t xml:space="preserve">) </w:t>
      </w:r>
      <w:r w:rsidRPr="00E0382F">
        <w:rPr>
          <w:rFonts w:asciiTheme="majorBidi" w:hAnsiTheme="majorBidi" w:cstheme="majorBidi"/>
          <w:i/>
        </w:rPr>
        <w:t>available at</w:t>
      </w:r>
      <w:r w:rsidRPr="00E0382F">
        <w:rPr>
          <w:rFonts w:asciiTheme="majorBidi" w:hAnsiTheme="majorBidi" w:cstheme="majorBidi"/>
        </w:rPr>
        <w:t xml:space="preserve"> </w:t>
      </w:r>
      <w:hyperlink r:id="rId10" w:history="1">
        <w:r w:rsidRPr="007C5313">
          <w:rPr>
            <w:rStyle w:val="Hyperlink"/>
            <w:rFonts w:asciiTheme="majorBidi" w:hAnsiTheme="majorBidi" w:cstheme="majorBidi"/>
          </w:rPr>
          <w:t>https://bothendsburning.org/stuck-documentary-explores-internatioanl-adoption-photos</w:t>
        </w:r>
      </w:hyperlink>
      <w:r w:rsidRPr="00E0382F">
        <w:rPr>
          <w:rFonts w:asciiTheme="majorBidi" w:hAnsiTheme="majorBidi" w:cstheme="majorBidi"/>
        </w:rPr>
        <w:t xml:space="preserve"> </w:t>
      </w:r>
    </w:p>
  </w:footnote>
  <w:footnote w:id="46">
    <w:p w14:paraId="5D44C54D" w14:textId="436663DD" w:rsidR="001A3CF6" w:rsidRPr="00E0382F" w:rsidRDefault="001A3CF6" w:rsidP="00A53137">
      <w:pPr>
        <w:pStyle w:val="FootnoteText"/>
        <w:rPr>
          <w:rFonts w:asciiTheme="majorBidi" w:hAnsiTheme="majorBidi" w:cstheme="majorBidi"/>
        </w:rPr>
      </w:pPr>
      <w:r w:rsidRPr="007C5313">
        <w:rPr>
          <w:rStyle w:val="FootnoteReference"/>
          <w:rFonts w:asciiTheme="majorBidi" w:hAnsiTheme="majorBidi" w:cstheme="majorBidi"/>
        </w:rPr>
        <w:footnoteRef/>
      </w:r>
      <w:r w:rsidRPr="007C5313">
        <w:rPr>
          <w:rFonts w:asciiTheme="majorBidi" w:hAnsiTheme="majorBidi" w:cstheme="majorBidi"/>
          <w:i/>
        </w:rPr>
        <w:t xml:space="preserve"> </w:t>
      </w:r>
      <w:r w:rsidRPr="00B57B6A">
        <w:rPr>
          <w:rFonts w:asciiTheme="majorBidi" w:hAnsiTheme="majorBidi" w:cstheme="majorBidi"/>
        </w:rPr>
        <w:t>Implementing the Guidelines</w:t>
      </w:r>
      <w:r>
        <w:rPr>
          <w:rFonts w:asciiTheme="majorBidi" w:hAnsiTheme="majorBidi" w:cstheme="majorBidi"/>
          <w:i/>
        </w:rPr>
        <w:t>, supra</w:t>
      </w:r>
      <w:r w:rsidRPr="00B57B6A">
        <w:rPr>
          <w:rFonts w:asciiTheme="majorBidi" w:hAnsiTheme="majorBidi" w:cstheme="majorBidi"/>
          <w:iCs/>
        </w:rPr>
        <w:t xml:space="preserve"> note 18</w:t>
      </w:r>
      <w:r w:rsidRPr="00E0382F">
        <w:rPr>
          <w:rFonts w:asciiTheme="majorBidi" w:hAnsiTheme="majorBidi" w:cstheme="majorBidi"/>
        </w:rPr>
        <w:t>.</w:t>
      </w:r>
    </w:p>
  </w:footnote>
  <w:footnote w:id="47">
    <w:p w14:paraId="2D7177BE" w14:textId="737EEE92" w:rsidR="001A3CF6" w:rsidRPr="009E1C12" w:rsidRDefault="001A3CF6" w:rsidP="00F15AED">
      <w:pPr>
        <w:pStyle w:val="FootnoteText"/>
        <w:tabs>
          <w:tab w:val="left" w:pos="90"/>
        </w:tabs>
        <w:rPr>
          <w:rFonts w:asciiTheme="majorBidi" w:hAnsiTheme="majorBidi" w:cstheme="majorBidi"/>
        </w:rPr>
      </w:pPr>
      <w:r w:rsidRPr="00E0382F">
        <w:rPr>
          <w:rStyle w:val="FootnoteReference"/>
          <w:rFonts w:asciiTheme="majorBidi" w:hAnsiTheme="majorBidi" w:cstheme="majorBidi"/>
        </w:rPr>
        <w:footnoteRef/>
      </w:r>
      <w:r w:rsidRPr="00E0382F">
        <w:rPr>
          <w:rFonts w:asciiTheme="majorBidi" w:hAnsiTheme="majorBidi" w:cstheme="majorBidi"/>
        </w:rPr>
        <w:t xml:space="preserve"> Better Care Network and Every Child, </w:t>
      </w:r>
      <w:r w:rsidRPr="00E0382F">
        <w:rPr>
          <w:rFonts w:asciiTheme="majorBidi" w:hAnsiTheme="majorBidi" w:cstheme="majorBidi"/>
          <w:smallCaps/>
        </w:rPr>
        <w:t>Enabling</w:t>
      </w:r>
      <w:r w:rsidRPr="009E1C12">
        <w:rPr>
          <w:rFonts w:asciiTheme="majorBidi" w:hAnsiTheme="majorBidi" w:cstheme="majorBidi"/>
          <w:smallCaps/>
        </w:rPr>
        <w:t xml:space="preserve"> Reform: Why Supporting Children with Disabilities must be at the Heart of Successful Child Care Reform</w:t>
      </w:r>
      <w:r>
        <w:rPr>
          <w:rFonts w:asciiTheme="majorBidi" w:hAnsiTheme="majorBidi" w:cstheme="majorBidi"/>
        </w:rPr>
        <w:t xml:space="preserve">, 12 (2012).   In some countries of Central and Eastern Europe and the former Soviet Union, where the overall population is going down, the rate of institutionalization is going up.  As of 2005, following the Cold War, some researchers found that the absolute number of children in institutions had gone down slightly, but the rate of institutionalization of children in Central and Eastern Europe had gone up by 3%.  Richard Carter, </w:t>
      </w:r>
      <w:r w:rsidRPr="000A3ACE">
        <w:rPr>
          <w:rFonts w:asciiTheme="majorBidi" w:hAnsiTheme="majorBidi" w:cstheme="majorBidi"/>
          <w:smallCaps/>
        </w:rPr>
        <w:t>Family matters: A study of institutional childcare in Central and Eastern Europe and the former Soviet Union</w:t>
      </w:r>
      <w:r>
        <w:rPr>
          <w:rFonts w:asciiTheme="majorBidi" w:hAnsiTheme="majorBidi" w:cstheme="majorBidi"/>
        </w:rPr>
        <w:t xml:space="preserve"> 1 (Every Child, 2005).  International funding for reform has declined in recent years, and some observers have warned that even small moves toward community integration in Central and Eastern Europe may not be sustainable.  Lucia Correll, Dana Buzducea, and Tim Correll, </w:t>
      </w:r>
      <w:r w:rsidRPr="000A3ACE">
        <w:rPr>
          <w:rFonts w:asciiTheme="majorBidi" w:hAnsiTheme="majorBidi" w:cstheme="majorBidi"/>
          <w:smallCaps/>
        </w:rPr>
        <w:t>The Job that Remains: An Overview of USAID Child Welfare Reform Efforts in Europe and Eurasia</w:t>
      </w:r>
      <w:r>
        <w:rPr>
          <w:rFonts w:asciiTheme="majorBidi" w:hAnsiTheme="majorBidi" w:cstheme="majorBidi"/>
        </w:rPr>
        <w:t xml:space="preserve"> (2009).</w:t>
      </w:r>
    </w:p>
  </w:footnote>
  <w:footnote w:id="48">
    <w:p w14:paraId="227E258D" w14:textId="7B9894D2" w:rsidR="001A3CF6" w:rsidRPr="009E1C12" w:rsidRDefault="001A3CF6" w:rsidP="00AF424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Corinna Csaky, </w:t>
      </w:r>
      <w:r w:rsidRPr="009E1C12">
        <w:rPr>
          <w:rFonts w:asciiTheme="majorBidi" w:hAnsiTheme="majorBidi" w:cstheme="majorBidi"/>
          <w:smallCaps/>
        </w:rPr>
        <w:t>Keeping Children Out of Harmful Institutions: Why We Should Be Investing in Family-Based Care</w:t>
      </w:r>
      <w:r w:rsidRPr="009E1C12">
        <w:rPr>
          <w:rFonts w:asciiTheme="majorBidi" w:hAnsiTheme="majorBidi" w:cstheme="majorBidi"/>
        </w:rPr>
        <w:t>, 4 (</w:t>
      </w:r>
      <w:r w:rsidRPr="00EF3FA4">
        <w:rPr>
          <w:rFonts w:asciiTheme="majorBidi" w:hAnsiTheme="majorBidi" w:cstheme="majorBidi"/>
        </w:rPr>
        <w:t>Sa</w:t>
      </w:r>
      <w:r w:rsidRPr="00FF3EB3">
        <w:rPr>
          <w:rFonts w:asciiTheme="majorBidi" w:hAnsiTheme="majorBidi" w:cstheme="majorBidi"/>
        </w:rPr>
        <w:t xml:space="preserve">ve the Children, </w:t>
      </w:r>
      <w:r w:rsidRPr="009E1C12">
        <w:rPr>
          <w:rFonts w:asciiTheme="majorBidi" w:hAnsiTheme="majorBidi" w:cstheme="majorBidi"/>
        </w:rPr>
        <w:t>2009).</w:t>
      </w:r>
    </w:p>
  </w:footnote>
  <w:footnote w:id="49">
    <w:p w14:paraId="33A647A2" w14:textId="7C818DE0" w:rsidR="001A3CF6" w:rsidRPr="009E1C12" w:rsidRDefault="001A3CF6" w:rsidP="0036246C">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w:t>
      </w:r>
      <w:r w:rsidRPr="009E1C12">
        <w:rPr>
          <w:rFonts w:asciiTheme="majorBidi" w:hAnsiTheme="majorBidi" w:cstheme="majorBidi"/>
        </w:rPr>
        <w:t xml:space="preserve">Jacob Kushner, </w:t>
      </w:r>
      <w:r w:rsidRPr="009E1C12">
        <w:rPr>
          <w:rFonts w:asciiTheme="majorBidi" w:hAnsiTheme="majorBidi" w:cstheme="majorBidi"/>
          <w:i/>
          <w:iCs/>
        </w:rPr>
        <w:t>The Voluntourist’s Dilemma</w:t>
      </w:r>
      <w:r w:rsidRPr="009E1C12">
        <w:rPr>
          <w:rFonts w:asciiTheme="majorBidi" w:hAnsiTheme="majorBidi" w:cstheme="majorBidi"/>
        </w:rPr>
        <w:t xml:space="preserve">, </w:t>
      </w:r>
      <w:r w:rsidRPr="009E1C12">
        <w:rPr>
          <w:rFonts w:asciiTheme="majorBidi" w:hAnsiTheme="majorBidi" w:cstheme="majorBidi"/>
          <w:smallCaps/>
        </w:rPr>
        <w:t>The New York Times Magazine</w:t>
      </w:r>
      <w:r w:rsidRPr="009E1C12">
        <w:rPr>
          <w:rFonts w:asciiTheme="majorBidi" w:hAnsiTheme="majorBidi" w:cstheme="majorBidi"/>
        </w:rPr>
        <w:t xml:space="preserve">, </w:t>
      </w:r>
      <w:r w:rsidRPr="00EF3FA4">
        <w:rPr>
          <w:rFonts w:asciiTheme="majorBidi" w:hAnsiTheme="majorBidi" w:cstheme="majorBidi"/>
        </w:rPr>
        <w:t>(</w:t>
      </w:r>
      <w:r w:rsidRPr="009E1C12">
        <w:rPr>
          <w:rFonts w:asciiTheme="majorBidi" w:hAnsiTheme="majorBidi" w:cstheme="majorBidi"/>
        </w:rPr>
        <w:t>March 22, 2016</w:t>
      </w:r>
      <w:r w:rsidRPr="00EF3FA4">
        <w:rPr>
          <w:rFonts w:asciiTheme="majorBidi" w:hAnsiTheme="majorBidi" w:cstheme="majorBidi"/>
        </w:rPr>
        <w:t>),</w:t>
      </w:r>
      <w:r w:rsidRPr="009E1C12">
        <w:rPr>
          <w:rFonts w:asciiTheme="majorBidi" w:hAnsiTheme="majorBidi" w:cstheme="majorBidi"/>
        </w:rPr>
        <w:t xml:space="preserve"> </w:t>
      </w:r>
      <w:hyperlink r:id="rId11" w:history="1">
        <w:r w:rsidRPr="009E1C12">
          <w:rPr>
            <w:rStyle w:val="Hyperlink"/>
            <w:rFonts w:asciiTheme="majorBidi" w:hAnsiTheme="majorBidi" w:cstheme="majorBidi"/>
          </w:rPr>
          <w:t>http://www.nytimes.com/2016/03/22/magazine/the-voluntourists-dilemma.html</w:t>
        </w:r>
      </w:hyperlink>
      <w:r w:rsidRPr="009E1C12">
        <w:rPr>
          <w:rFonts w:asciiTheme="majorBidi" w:hAnsiTheme="majorBidi" w:cstheme="majorBidi"/>
        </w:rPr>
        <w:t xml:space="preserve"> (last visited October 5, 2016). “A 2008 study surveyed 300 organizations that </w:t>
      </w:r>
      <w:r w:rsidRPr="00186D5B">
        <w:rPr>
          <w:rFonts w:asciiTheme="majorBidi" w:hAnsiTheme="majorBidi" w:cstheme="majorBidi"/>
        </w:rPr>
        <w:t xml:space="preserve">market to would-be voluntourists and estimated that 1.6 million people volunteer on vacation, spending around $2 billion annually.”; “Research in South Africa and elsewhere has found that “orphan tourism” — in which visitors volunteer as caregivers for children whose parents died or otherwise can’t support them — has become so popular that some orphanages operate more like opportunistic businesses than charities, intentionally subjecting children to poor conditions in order to entice unsuspecting volunteers to donate more money.” See also, Laurie Ahern, </w:t>
      </w:r>
      <w:r w:rsidRPr="00B57B6A">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_Ref471732026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186D5B">
        <w:rPr>
          <w:rFonts w:asciiTheme="majorBidi" w:hAnsiTheme="majorBidi" w:cstheme="majorBidi"/>
        </w:rPr>
        <w:t>.</w:t>
      </w:r>
    </w:p>
  </w:footnote>
  <w:footnote w:id="50">
    <w:p w14:paraId="5A5FA65D" w14:textId="428218B1" w:rsidR="001A3CF6" w:rsidRPr="009E1C12" w:rsidRDefault="001A3CF6">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p>
  </w:footnote>
  <w:footnote w:id="51">
    <w:p w14:paraId="5779BE13" w14:textId="75526C39" w:rsidR="001A3CF6" w:rsidRPr="00BB7869" w:rsidRDefault="001A3CF6" w:rsidP="00242D34">
      <w:pPr>
        <w:pStyle w:val="FootnoteText"/>
        <w:rPr>
          <w:rFonts w:ascii="Times New Roman" w:hAnsi="Times New Roman" w:cs="Times New Roman"/>
          <w:smallCaps/>
        </w:rPr>
      </w:pPr>
      <w:r w:rsidRPr="00BB7869">
        <w:rPr>
          <w:rStyle w:val="FootnoteReference"/>
          <w:rFonts w:ascii="Times New Roman" w:hAnsi="Times New Roman" w:cs="Times New Roman"/>
        </w:rPr>
        <w:footnoteRef/>
      </w:r>
      <w:r w:rsidRPr="00BB7869">
        <w:rPr>
          <w:rFonts w:ascii="Times New Roman" w:hAnsi="Times New Roman" w:cs="Times New Roman"/>
        </w:rPr>
        <w:t xml:space="preserve"> Carter (2005), </w:t>
      </w:r>
      <w:r w:rsidRPr="00BB7869">
        <w:rPr>
          <w:rFonts w:ascii="Times New Roman" w:hAnsi="Times New Roman" w:cs="Times New Roman"/>
          <w:i/>
        </w:rPr>
        <w:t>supra</w:t>
      </w:r>
      <w:r w:rsidRPr="00BB7869">
        <w:rPr>
          <w:rFonts w:ascii="Times New Roman" w:hAnsi="Times New Roman" w:cs="Times New Roman"/>
        </w:rPr>
        <w:t xml:space="preserve"> note </w:t>
      </w:r>
      <w:r w:rsidRPr="00BB7869">
        <w:rPr>
          <w:rFonts w:ascii="Times New Roman" w:hAnsi="Times New Roman" w:cs="Times New Roman"/>
        </w:rPr>
        <w:fldChar w:fldCharType="begin"/>
      </w:r>
      <w:r w:rsidRPr="00BB7869">
        <w:rPr>
          <w:rFonts w:ascii="Times New Roman" w:hAnsi="Times New Roman" w:cs="Times New Roman"/>
        </w:rPr>
        <w:instrText xml:space="preserve"> NOTEREF _Ref471307294 \h </w:instrText>
      </w:r>
      <w:r>
        <w:rPr>
          <w:rFonts w:ascii="Times New Roman" w:hAnsi="Times New Roman" w:cs="Times New Roman"/>
        </w:rPr>
        <w:instrText xml:space="preserve"> \* MERGEFORMAT </w:instrText>
      </w:r>
      <w:r w:rsidRPr="00BB7869">
        <w:rPr>
          <w:rFonts w:ascii="Times New Roman" w:hAnsi="Times New Roman" w:cs="Times New Roman"/>
        </w:rPr>
      </w:r>
      <w:r w:rsidRPr="00BB7869">
        <w:rPr>
          <w:rFonts w:ascii="Times New Roman" w:hAnsi="Times New Roman" w:cs="Times New Roman"/>
        </w:rPr>
        <w:fldChar w:fldCharType="separate"/>
      </w:r>
      <w:r>
        <w:rPr>
          <w:rFonts w:ascii="Times New Roman" w:hAnsi="Times New Roman" w:cs="Times New Roman"/>
        </w:rPr>
        <w:t>47</w:t>
      </w:r>
      <w:r w:rsidRPr="00BB7869">
        <w:rPr>
          <w:rFonts w:ascii="Times New Roman" w:hAnsi="Times New Roman" w:cs="Times New Roman"/>
        </w:rPr>
        <w:fldChar w:fldCharType="end"/>
      </w:r>
      <w:r w:rsidRPr="00BB7869">
        <w:rPr>
          <w:rFonts w:ascii="Times New Roman" w:hAnsi="Times New Roman" w:cs="Times New Roman"/>
        </w:rPr>
        <w:t xml:space="preserve">, at 19. </w:t>
      </w:r>
    </w:p>
  </w:footnote>
  <w:footnote w:id="52">
    <w:p w14:paraId="139D9EEC" w14:textId="760ECB1A" w:rsidR="001A3CF6" w:rsidRPr="00BB7869" w:rsidRDefault="001A3CF6">
      <w:pPr>
        <w:pStyle w:val="FootnoteText"/>
      </w:pPr>
      <w:r w:rsidRPr="00BB7869">
        <w:rPr>
          <w:rStyle w:val="FootnoteReference"/>
          <w:rFonts w:ascii="Times New Roman" w:hAnsi="Times New Roman" w:cs="Times New Roman"/>
        </w:rPr>
        <w:footnoteRef/>
      </w:r>
      <w:r w:rsidRPr="00BB7869">
        <w:rPr>
          <w:rFonts w:ascii="Times New Roman" w:hAnsi="Times New Roman" w:cs="Times New Roman"/>
        </w:rPr>
        <w:t xml:space="preserve"> Lumos (2015) </w:t>
      </w:r>
      <w:r w:rsidRPr="00BB7869">
        <w:rPr>
          <w:rFonts w:ascii="Times New Roman" w:hAnsi="Times New Roman" w:cs="Times New Roman"/>
          <w:i/>
        </w:rPr>
        <w:t>supra</w:t>
      </w:r>
      <w:r w:rsidRPr="00BB7869">
        <w:rPr>
          <w:rFonts w:ascii="Times New Roman" w:hAnsi="Times New Roman" w:cs="Times New Roman"/>
        </w:rPr>
        <w:t xml:space="preserve"> note </w:t>
      </w:r>
      <w:r w:rsidRPr="00BB7869">
        <w:rPr>
          <w:rFonts w:ascii="Times New Roman" w:hAnsi="Times New Roman" w:cs="Times New Roman"/>
        </w:rPr>
        <w:fldChar w:fldCharType="begin"/>
      </w:r>
      <w:r w:rsidRPr="00BB7869">
        <w:rPr>
          <w:rFonts w:ascii="Times New Roman" w:hAnsi="Times New Roman" w:cs="Times New Roman"/>
        </w:rPr>
        <w:instrText xml:space="preserve"> NOTEREF _Ref471308786 \h </w:instrText>
      </w:r>
      <w:r>
        <w:rPr>
          <w:rFonts w:ascii="Times New Roman" w:hAnsi="Times New Roman" w:cs="Times New Roman"/>
        </w:rPr>
        <w:instrText xml:space="preserve"> \* MERGEFORMAT </w:instrText>
      </w:r>
      <w:r w:rsidRPr="00BB7869">
        <w:rPr>
          <w:rFonts w:ascii="Times New Roman" w:hAnsi="Times New Roman" w:cs="Times New Roman"/>
        </w:rPr>
      </w:r>
      <w:r w:rsidRPr="00BB7869">
        <w:rPr>
          <w:rFonts w:ascii="Times New Roman" w:hAnsi="Times New Roman" w:cs="Times New Roman"/>
        </w:rPr>
        <w:fldChar w:fldCharType="separate"/>
      </w:r>
      <w:r>
        <w:rPr>
          <w:rFonts w:ascii="Times New Roman" w:hAnsi="Times New Roman" w:cs="Times New Roman"/>
        </w:rPr>
        <w:t>25</w:t>
      </w:r>
      <w:r w:rsidRPr="00BB7869">
        <w:rPr>
          <w:rFonts w:ascii="Times New Roman" w:hAnsi="Times New Roman" w:cs="Times New Roman"/>
        </w:rPr>
        <w:fldChar w:fldCharType="end"/>
      </w:r>
      <w:r w:rsidRPr="00BB7869">
        <w:rPr>
          <w:rFonts w:ascii="Times New Roman" w:hAnsi="Times New Roman" w:cs="Times New Roman"/>
        </w:rPr>
        <w:t>, at 17.</w:t>
      </w:r>
    </w:p>
  </w:footnote>
  <w:footnote w:id="53">
    <w:p w14:paraId="6EF983DF" w14:textId="178B23DD"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Studies from different parts of the world consistently find that poverty is a major factor in forcing children into institutions, even though rates vary. Some studies from Europe have shown that 90% of placements in orphanages could be attributed to poverty and homelessness. Studies form Rwanda and Malawi have found that poverty, combined with death of one parent, contributed to 40% of orphanage placements.  Faith in Action Initiative, </w:t>
      </w:r>
      <w:r w:rsidRPr="009E1C12">
        <w:rPr>
          <w:rFonts w:asciiTheme="majorBidi" w:hAnsiTheme="majorBidi" w:cstheme="majorBidi"/>
          <w:smallCaps/>
        </w:rPr>
        <w:t>Children, Orphanages, and Families: A Summary of Research to Help Guide Faith-Based Action</w:t>
      </w:r>
      <w:r w:rsidRPr="009E1C12">
        <w:rPr>
          <w:rFonts w:asciiTheme="majorBidi" w:hAnsiTheme="majorBidi" w:cstheme="majorBidi"/>
        </w:rPr>
        <w:t xml:space="preserve"> 6 (2014).</w:t>
      </w:r>
    </w:p>
  </w:footnote>
  <w:footnote w:id="54">
    <w:p w14:paraId="5AAF568B" w14:textId="4FEB98DF" w:rsidR="001A3CF6" w:rsidRPr="009E1C12" w:rsidRDefault="001A3CF6" w:rsidP="00C775E1">
      <w:pPr>
        <w:spacing w:after="0"/>
        <w:rPr>
          <w:rFonts w:asciiTheme="majorBidi" w:eastAsia="Times New Roman"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w:t>
      </w:r>
      <w:r w:rsidRPr="009E1C12">
        <w:rPr>
          <w:rFonts w:asciiTheme="majorBidi" w:eastAsia="Times New Roman" w:hAnsiTheme="majorBidi" w:cstheme="majorBidi"/>
          <w:sz w:val="20"/>
          <w:szCs w:val="20"/>
        </w:rPr>
        <w:t xml:space="preserve">Some children are placed in institutions precisely because their primary caregivers – in most cases parents – have died, have relinquished or abandoned them, or have had their responsibility for them withdrawn. Most are there, however, for other reasons, such as the need for special care, the temporary inability of parents to cope, instances of domestic violence or neglect, or loss of contact with parents and family in armed conflict or other emergency situations. Ironically, it is often simply through the very fact of their placement that the role and presence of these children’s ‘primary caregivers’ may be jeopardised or, at worst, definitively terminated.” </w:t>
      </w:r>
      <w:r w:rsidRPr="009E1C12">
        <w:rPr>
          <w:rFonts w:asciiTheme="majorBidi" w:hAnsiTheme="majorBidi" w:cstheme="majorBidi"/>
          <w:sz w:val="20"/>
          <w:szCs w:val="20"/>
        </w:rPr>
        <w:t xml:space="preserve">UNICEF, </w:t>
      </w:r>
      <w:r w:rsidRPr="009E1C12">
        <w:rPr>
          <w:rFonts w:asciiTheme="majorBidi" w:hAnsiTheme="majorBidi" w:cstheme="majorBidi"/>
          <w:i/>
          <w:iCs/>
          <w:sz w:val="20"/>
          <w:szCs w:val="20"/>
        </w:rPr>
        <w:t>Children in Institutions: The Beginning of the End</w:t>
      </w:r>
      <w:r w:rsidRPr="009E1C12">
        <w:rPr>
          <w:rFonts w:asciiTheme="majorBidi" w:hAnsiTheme="majorBidi" w:cstheme="majorBidi"/>
          <w:smallCaps/>
          <w:sz w:val="20"/>
          <w:szCs w:val="20"/>
        </w:rPr>
        <w:t>?</w:t>
      </w:r>
      <w:r w:rsidRPr="009E1C12">
        <w:rPr>
          <w:rFonts w:asciiTheme="majorBidi" w:hAnsiTheme="majorBidi" w:cstheme="majorBidi"/>
          <w:sz w:val="20"/>
          <w:szCs w:val="20"/>
        </w:rPr>
        <w:t xml:space="preserve"> </w:t>
      </w:r>
      <w:r w:rsidRPr="00EF3FA4">
        <w:rPr>
          <w:rFonts w:asciiTheme="majorBidi" w:hAnsiTheme="majorBidi" w:cstheme="majorBidi"/>
          <w:sz w:val="20"/>
          <w:szCs w:val="20"/>
        </w:rPr>
        <w:t>(2003)</w:t>
      </w:r>
      <w:r>
        <w:rPr>
          <w:rFonts w:asciiTheme="majorBidi" w:hAnsiTheme="majorBidi" w:cstheme="majorBidi"/>
          <w:sz w:val="20"/>
          <w:szCs w:val="20"/>
        </w:rPr>
        <w:t>,</w:t>
      </w:r>
      <w:r w:rsidRPr="00EF3FA4">
        <w:rPr>
          <w:rFonts w:asciiTheme="majorBidi" w:hAnsiTheme="majorBidi" w:cstheme="majorBidi"/>
          <w:sz w:val="20"/>
          <w:szCs w:val="20"/>
        </w:rPr>
        <w:t xml:space="preserve"> </w:t>
      </w:r>
      <w:r w:rsidRPr="009E1C12">
        <w:rPr>
          <w:rFonts w:asciiTheme="majorBidi" w:hAnsiTheme="majorBidi" w:cstheme="majorBidi"/>
          <w:sz w:val="20"/>
          <w:szCs w:val="20"/>
        </w:rPr>
        <w:t>v.</w:t>
      </w:r>
    </w:p>
  </w:footnote>
  <w:footnote w:id="55">
    <w:p w14:paraId="4F914FC2" w14:textId="67873967"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Eric Rosenthal &amp; Laurie Ahern “Perspective: Children in Institutions” </w:t>
      </w:r>
      <w:r w:rsidRPr="009E1C12">
        <w:rPr>
          <w:rFonts w:asciiTheme="majorBidi" w:hAnsiTheme="majorBidi" w:cstheme="majorBidi"/>
          <w:i/>
        </w:rPr>
        <w:t xml:space="preserve">in </w:t>
      </w:r>
      <w:r w:rsidRPr="009E1C12">
        <w:rPr>
          <w:rFonts w:asciiTheme="majorBidi" w:hAnsiTheme="majorBidi" w:cstheme="majorBidi"/>
        </w:rPr>
        <w:t xml:space="preserve">UNICEF, </w:t>
      </w:r>
      <w:r w:rsidRPr="009E1C12">
        <w:rPr>
          <w:rFonts w:asciiTheme="majorBidi" w:hAnsiTheme="majorBidi" w:cstheme="majorBidi"/>
          <w:smallCaps/>
        </w:rPr>
        <w:t>State of the World’s Children</w:t>
      </w:r>
      <w:r w:rsidRPr="009E1C12">
        <w:rPr>
          <w:rFonts w:asciiTheme="majorBidi" w:hAnsiTheme="majorBidi" w:cstheme="majorBidi"/>
        </w:rPr>
        <w:t xml:space="preserve"> (2013) at 46</w:t>
      </w:r>
      <w:r>
        <w:rPr>
          <w:rFonts w:asciiTheme="majorBidi" w:hAnsiTheme="majorBidi" w:cstheme="majorBidi"/>
        </w:rPr>
        <w:t xml:space="preserve"> [</w:t>
      </w:r>
      <w:r w:rsidRPr="009E1C12">
        <w:rPr>
          <w:rFonts w:asciiTheme="majorBidi" w:hAnsiTheme="majorBidi" w:cstheme="majorBidi"/>
        </w:rPr>
        <w:t xml:space="preserve">hereinafter </w:t>
      </w:r>
      <w:r w:rsidRPr="00EF3FA4">
        <w:rPr>
          <w:rFonts w:asciiTheme="majorBidi" w:hAnsiTheme="majorBidi" w:cstheme="majorBidi"/>
        </w:rPr>
        <w:t>“</w:t>
      </w:r>
      <w:r>
        <w:rPr>
          <w:rFonts w:asciiTheme="majorBidi" w:hAnsiTheme="majorBidi" w:cstheme="majorBidi"/>
        </w:rPr>
        <w:t>UNICEF: State of the World’s Children (2013</w:t>
      </w:r>
      <w:r w:rsidRPr="009E1C12">
        <w:rPr>
          <w:rFonts w:asciiTheme="majorBidi" w:hAnsiTheme="majorBidi" w:cstheme="majorBidi"/>
        </w:rPr>
        <w:t>)</w:t>
      </w:r>
      <w:r>
        <w:rPr>
          <w:rFonts w:asciiTheme="majorBidi" w:hAnsiTheme="majorBidi" w:cstheme="majorBidi"/>
        </w:rPr>
        <w:t>”].</w:t>
      </w:r>
    </w:p>
  </w:footnote>
  <w:footnote w:id="56">
    <w:p w14:paraId="12E84533" w14:textId="336714B6" w:rsidR="001A3CF6" w:rsidRPr="009E1C12" w:rsidRDefault="001A3CF6" w:rsidP="00B57B6A">
      <w:pPr>
        <w:pStyle w:val="FootnoteText"/>
        <w:tabs>
          <w:tab w:val="left" w:pos="4209"/>
        </w:tabs>
        <w:rPr>
          <w:rFonts w:asciiTheme="majorBidi" w:hAnsiTheme="majorBidi" w:cstheme="majorBidi"/>
          <w:lang w:val="es-MX"/>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sidRPr="00D2396B">
        <w:rPr>
          <w:rFonts w:ascii="Times New Roman" w:hAnsi="Times New Roman" w:cs="Times New Roman"/>
        </w:rPr>
        <w:t>Méndez</w:t>
      </w:r>
      <w:r w:rsidRPr="00EF3FA4">
        <w:rPr>
          <w:rFonts w:asciiTheme="majorBidi" w:hAnsiTheme="majorBidi" w:cstheme="majorBidi"/>
          <w:lang w:val="es-MX"/>
        </w:rPr>
        <w:t xml:space="preserve"> 2015 Report</w:t>
      </w:r>
      <w:r w:rsidRPr="009E1C12">
        <w:rPr>
          <w:rFonts w:asciiTheme="majorBidi" w:hAnsiTheme="majorBidi" w:cstheme="majorBidi"/>
          <w:lang w:val="es-MX"/>
        </w:rPr>
        <w:t xml:space="preserve">, </w:t>
      </w:r>
      <w:r w:rsidRPr="009E1C12">
        <w:rPr>
          <w:rFonts w:asciiTheme="majorBidi" w:hAnsiTheme="majorBidi" w:cstheme="majorBidi"/>
          <w:i/>
          <w:lang w:val="es-MX"/>
        </w:rPr>
        <w:t>supra</w:t>
      </w:r>
      <w:r w:rsidRPr="009E1C12">
        <w:rPr>
          <w:rFonts w:asciiTheme="majorBidi" w:hAnsiTheme="majorBidi" w:cstheme="majorBidi"/>
          <w:lang w:val="es-MX"/>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_Ref471731064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rsidRPr="009E1C12">
        <w:rPr>
          <w:rFonts w:asciiTheme="majorBidi" w:hAnsiTheme="majorBidi" w:cstheme="majorBidi"/>
          <w:lang w:val="es-MX"/>
        </w:rPr>
        <w:t xml:space="preserve">, </w:t>
      </w:r>
      <w:r>
        <w:rPr>
          <w:rFonts w:asciiTheme="majorBidi" w:hAnsiTheme="majorBidi" w:cstheme="majorBidi"/>
          <w:lang w:val="es-MX"/>
        </w:rPr>
        <w:t xml:space="preserve">at </w:t>
      </w:r>
      <w:r w:rsidRPr="009E1C12">
        <w:rPr>
          <w:rFonts w:asciiTheme="majorBidi" w:hAnsiTheme="majorBidi" w:cstheme="majorBidi"/>
          <w:lang w:val="es-MX"/>
        </w:rPr>
        <w:t>para. 16.</w:t>
      </w:r>
    </w:p>
  </w:footnote>
  <w:footnote w:id="57">
    <w:p w14:paraId="00670471" w14:textId="046ED14A" w:rsidR="001A3CF6" w:rsidRPr="009E1C12" w:rsidRDefault="001A3CF6" w:rsidP="00C600D4">
      <w:pPr>
        <w:pStyle w:val="FootnoteText"/>
        <w:rPr>
          <w:rFonts w:asciiTheme="majorBidi" w:hAnsiTheme="majorBidi" w:cstheme="majorBidi"/>
          <w:lang w:val="es-MX"/>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sidRPr="00373912">
        <w:rPr>
          <w:rFonts w:ascii="Times New Roman" w:hAnsi="Times New Roman" w:cs="Times New Roman"/>
        </w:rPr>
        <w:t>Id</w:t>
      </w:r>
      <w:r>
        <w:rPr>
          <w:rFonts w:ascii="Times New Roman" w:hAnsi="Times New Roman" w:cs="Times New Roman"/>
          <w:sz w:val="24"/>
          <w:szCs w:val="24"/>
        </w:rPr>
        <w:t>.</w:t>
      </w:r>
      <w:r w:rsidRPr="009E1C12">
        <w:rPr>
          <w:rFonts w:asciiTheme="majorBidi" w:hAnsiTheme="majorBidi" w:cstheme="majorBidi"/>
          <w:lang w:val="es-MX"/>
        </w:rPr>
        <w:t xml:space="preserve"> </w:t>
      </w:r>
      <w:r w:rsidRPr="009E1C12">
        <w:rPr>
          <w:rFonts w:asciiTheme="majorBidi" w:hAnsiTheme="majorBidi" w:cstheme="majorBidi"/>
          <w:i/>
          <w:lang w:val="es-MX"/>
        </w:rPr>
        <w:t>supra</w:t>
      </w:r>
      <w:r w:rsidRPr="009E1C12">
        <w:rPr>
          <w:rFonts w:asciiTheme="majorBidi" w:hAnsiTheme="majorBidi" w:cstheme="majorBidi"/>
          <w:lang w:val="es-MX"/>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_Ref471731064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rsidRPr="009E1C12">
        <w:rPr>
          <w:rFonts w:asciiTheme="majorBidi" w:hAnsiTheme="majorBidi" w:cstheme="majorBidi"/>
          <w:lang w:val="es-MX"/>
        </w:rPr>
        <w:t>, at para.</w:t>
      </w:r>
      <w:r w:rsidRPr="00EF3FA4">
        <w:rPr>
          <w:rFonts w:asciiTheme="majorBidi" w:hAnsiTheme="majorBidi" w:cstheme="majorBidi"/>
          <w:lang w:val="es-MX"/>
        </w:rPr>
        <w:t xml:space="preserve"> </w:t>
      </w:r>
      <w:r w:rsidRPr="009E1C12">
        <w:rPr>
          <w:rFonts w:asciiTheme="majorBidi" w:hAnsiTheme="majorBidi" w:cstheme="majorBidi"/>
          <w:lang w:val="es-MX"/>
        </w:rPr>
        <w:t>33 (emphasis added).</w:t>
      </w:r>
    </w:p>
  </w:footnote>
  <w:footnote w:id="58">
    <w:p w14:paraId="2E1CAD5B" w14:textId="62176D1B" w:rsidR="001A3CF6" w:rsidRPr="009E1C12" w:rsidRDefault="001A3CF6">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p>
  </w:footnote>
  <w:footnote w:id="59">
    <w:p w14:paraId="30DD28FD" w14:textId="222D4BA7" w:rsidR="001A3CF6" w:rsidRPr="009E1C12" w:rsidRDefault="001A3CF6" w:rsidP="00C132C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w:t>
      </w:r>
      <w:r w:rsidRPr="009E1C12">
        <w:rPr>
          <w:rFonts w:asciiTheme="majorBidi" w:hAnsiTheme="majorBidi" w:cstheme="majorBidi"/>
        </w:rPr>
        <w:t xml:space="preserve">Better Care Network, </w:t>
      </w:r>
      <w:r w:rsidRPr="009E1C12">
        <w:rPr>
          <w:rFonts w:asciiTheme="majorBidi" w:hAnsiTheme="majorBidi" w:cstheme="majorBidi"/>
          <w:smallCaps/>
        </w:rPr>
        <w:t>Global Facts About Orphanages</w:t>
      </w:r>
      <w:r w:rsidRPr="00EF3FA4">
        <w:rPr>
          <w:rFonts w:asciiTheme="majorBidi" w:hAnsiTheme="majorBidi" w:cstheme="majorBidi"/>
          <w:smallCaps/>
        </w:rPr>
        <w:t xml:space="preserve"> </w:t>
      </w:r>
      <w:r w:rsidRPr="00FF3EB3">
        <w:rPr>
          <w:rFonts w:asciiTheme="majorBidi" w:hAnsiTheme="majorBidi" w:cstheme="majorBidi"/>
        </w:rPr>
        <w:t>(2009)</w:t>
      </w:r>
      <w:r w:rsidRPr="009E1C12">
        <w:rPr>
          <w:rFonts w:asciiTheme="majorBidi" w:hAnsiTheme="majorBidi" w:cstheme="majorBidi"/>
          <w:i/>
        </w:rPr>
        <w:t xml:space="preserve"> </w:t>
      </w:r>
      <w:r w:rsidRPr="009E1C12">
        <w:rPr>
          <w:rFonts w:asciiTheme="majorBidi" w:hAnsiTheme="majorBidi" w:cstheme="majorBidi"/>
        </w:rPr>
        <w:t>6-7 (summarizing extensive research on the psychological dangers of orphanages).</w:t>
      </w:r>
    </w:p>
  </w:footnote>
  <w:footnote w:id="60">
    <w:p w14:paraId="509EBDD1" w14:textId="3078E1F7" w:rsidR="001A3CF6" w:rsidRPr="009E1C12" w:rsidRDefault="001A3CF6" w:rsidP="00D64329">
      <w:pPr>
        <w:pStyle w:val="CommentText"/>
        <w:spacing w:after="0"/>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w:t>
      </w:r>
      <w:r w:rsidRPr="009E1C12">
        <w:rPr>
          <w:rFonts w:asciiTheme="majorBidi" w:hAnsiTheme="majorBidi" w:cstheme="majorBidi"/>
        </w:rPr>
        <w:t xml:space="preserve">During the first few years of a child’s life, when he or she is most dependent on adults for the realization of rights, the relationship between the right to a family and the rights to life, integral development, and personal integrity, is a particularly strong one.”  Inter-American Commission on Human Rights, </w:t>
      </w:r>
      <w:r w:rsidRPr="009E1C12">
        <w:rPr>
          <w:rFonts w:asciiTheme="majorBidi" w:hAnsiTheme="majorBidi" w:cstheme="majorBidi"/>
          <w:i/>
          <w:iCs/>
        </w:rPr>
        <w:t>The right of Boys and Girls to Have a Family, Alternative Care. Ending Institutionalization in the Americas</w:t>
      </w:r>
      <w:r w:rsidRPr="009E1C12">
        <w:rPr>
          <w:rFonts w:asciiTheme="majorBidi" w:hAnsiTheme="majorBidi" w:cstheme="majorBidi"/>
        </w:rPr>
        <w:t xml:space="preserve">, </w:t>
      </w:r>
      <w:r w:rsidRPr="00EF3FA4">
        <w:rPr>
          <w:rFonts w:asciiTheme="majorBidi" w:hAnsiTheme="majorBidi" w:cstheme="majorBidi"/>
        </w:rPr>
        <w:t>OEA/Ser.L/V/II, Doc. 54/13, 17 (Oct. 1</w:t>
      </w:r>
      <w:r w:rsidRPr="00FF3EB3">
        <w:rPr>
          <w:rFonts w:asciiTheme="majorBidi" w:hAnsiTheme="majorBidi" w:cstheme="majorBidi"/>
        </w:rPr>
        <w:t xml:space="preserve">7, 2013) </w:t>
      </w:r>
      <w:r w:rsidRPr="009E1C12">
        <w:rPr>
          <w:rFonts w:asciiTheme="majorBidi" w:hAnsiTheme="majorBidi" w:cstheme="majorBidi"/>
        </w:rPr>
        <w:t>para</w:t>
      </w:r>
      <w:r w:rsidRPr="00EF3FA4">
        <w:rPr>
          <w:rFonts w:asciiTheme="majorBidi" w:hAnsiTheme="majorBidi" w:cstheme="majorBidi"/>
        </w:rPr>
        <w:t>.</w:t>
      </w:r>
      <w:r w:rsidRPr="009E1C12">
        <w:rPr>
          <w:rFonts w:asciiTheme="majorBidi" w:hAnsiTheme="majorBidi" w:cstheme="majorBidi"/>
        </w:rPr>
        <w:t xml:space="preserve"> 57.</w:t>
      </w:r>
    </w:p>
  </w:footnote>
  <w:footnote w:id="61">
    <w:p w14:paraId="6F848237" w14:textId="50F3E102" w:rsidR="001A3CF6" w:rsidRPr="009E1C12" w:rsidRDefault="001A3CF6" w:rsidP="00D72DB2">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Mary Dozier, Joan Kaufman, Roger Kobak, Thomas G. O’Connor, Abraham Sagi-Schwartz, Stephen Scott, Carole Shauffer, Judith Smetana, Marinus H. van IJzendoorn, and Carles H. Zeanah, </w:t>
      </w:r>
      <w:r w:rsidRPr="009E1C12">
        <w:rPr>
          <w:rFonts w:asciiTheme="majorBidi" w:hAnsiTheme="majorBidi" w:cstheme="majorBidi"/>
          <w:i/>
          <w:iCs/>
        </w:rPr>
        <w:t>Consensus Statement on Group Care for Children and Adolescents: A Statement of Policy of the American Orthopsychiatric Association</w:t>
      </w:r>
      <w:r w:rsidRPr="009E1C12">
        <w:rPr>
          <w:rFonts w:asciiTheme="majorBidi" w:hAnsiTheme="majorBidi" w:cstheme="majorBidi"/>
        </w:rPr>
        <w:t>, 84 American Journal of Orthopsychiatry 219, 220 (2014).</w:t>
      </w:r>
    </w:p>
  </w:footnote>
  <w:footnote w:id="62">
    <w:p w14:paraId="0EA75D64" w14:textId="49B2090C"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See</w:t>
      </w:r>
      <w:r w:rsidRPr="009E1C12">
        <w:rPr>
          <w:rFonts w:asciiTheme="majorBidi" w:hAnsiTheme="majorBidi" w:cstheme="majorBidi"/>
        </w:rPr>
        <w:t xml:space="preserve"> discussion in </w:t>
      </w:r>
      <w:r>
        <w:rPr>
          <w:rFonts w:asciiTheme="majorBidi" w:hAnsiTheme="majorBidi" w:cstheme="majorBidi"/>
        </w:rPr>
        <w:t xml:space="preserve">Arlene Kanter, “The right to live in the community for people with disabilities under Article 19,” 64, </w:t>
      </w:r>
      <w:r w:rsidRPr="002E57A9">
        <w:rPr>
          <w:rFonts w:asciiTheme="majorBidi" w:hAnsiTheme="majorBidi" w:cstheme="majorBidi"/>
          <w:smallCaps/>
        </w:rPr>
        <w:t>The Development of Disability Rights Under International Law</w:t>
      </w:r>
      <w:r>
        <w:rPr>
          <w:rFonts w:asciiTheme="majorBidi" w:hAnsiTheme="majorBidi" w:cstheme="majorBidi"/>
        </w:rPr>
        <w:t xml:space="preserve"> 65-75, (2015) (describing the concept of a “home” and development of community care); </w:t>
      </w:r>
      <w:r w:rsidRPr="002E57A9">
        <w:rPr>
          <w:rFonts w:asciiTheme="majorBidi" w:hAnsiTheme="majorBidi" w:cstheme="majorBidi"/>
          <w:i/>
        </w:rPr>
        <w:t>see also</w:t>
      </w:r>
      <w:r>
        <w:rPr>
          <w:rFonts w:asciiTheme="majorBidi" w:hAnsiTheme="majorBidi" w:cstheme="majorBidi"/>
          <w:i/>
        </w:rPr>
        <w:t xml:space="preserve"> </w:t>
      </w:r>
      <w:r>
        <w:rPr>
          <w:rFonts w:asciiTheme="majorBidi" w:hAnsiTheme="majorBidi" w:cstheme="majorBidi"/>
        </w:rPr>
        <w:t xml:space="preserve">notes </w:t>
      </w:r>
      <w:r>
        <w:rPr>
          <w:rFonts w:asciiTheme="majorBidi" w:hAnsiTheme="majorBidi" w:cstheme="majorBidi"/>
        </w:rPr>
        <w:fldChar w:fldCharType="begin"/>
      </w:r>
      <w:r>
        <w:rPr>
          <w:rFonts w:asciiTheme="majorBidi" w:hAnsiTheme="majorBidi" w:cstheme="majorBidi"/>
        </w:rPr>
        <w:instrText xml:space="preserve"> NOTEREF _Ref466968444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152</w:t>
      </w:r>
      <w:r>
        <w:rPr>
          <w:rFonts w:asciiTheme="majorBidi" w:hAnsiTheme="majorBidi" w:cstheme="majorBidi"/>
        </w:rPr>
        <w:fldChar w:fldCharType="end"/>
      </w:r>
      <w:r>
        <w:rPr>
          <w:rFonts w:asciiTheme="majorBidi" w:hAnsiTheme="majorBidi" w:cstheme="majorBidi"/>
        </w:rPr>
        <w:t xml:space="preserve"> to </w:t>
      </w:r>
      <w:r>
        <w:rPr>
          <w:rFonts w:asciiTheme="majorBidi" w:hAnsiTheme="majorBidi" w:cstheme="majorBidi"/>
        </w:rPr>
        <w:fldChar w:fldCharType="begin"/>
      </w:r>
      <w:r>
        <w:rPr>
          <w:rFonts w:asciiTheme="majorBidi" w:hAnsiTheme="majorBidi" w:cstheme="majorBidi"/>
        </w:rPr>
        <w:instrText xml:space="preserve"> NOTEREF _Ref471400902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155</w:t>
      </w:r>
      <w:r>
        <w:rPr>
          <w:rFonts w:asciiTheme="majorBidi" w:hAnsiTheme="majorBidi" w:cstheme="majorBidi"/>
        </w:rPr>
        <w:fldChar w:fldCharType="end"/>
      </w:r>
      <w:r>
        <w:rPr>
          <w:rFonts w:asciiTheme="majorBidi" w:hAnsiTheme="majorBidi" w:cstheme="majorBidi"/>
        </w:rPr>
        <w:t xml:space="preserve"> </w:t>
      </w:r>
      <w:r>
        <w:rPr>
          <w:rFonts w:asciiTheme="majorBidi" w:hAnsiTheme="majorBidi" w:cstheme="majorBidi"/>
          <w:i/>
        </w:rPr>
        <w:t xml:space="preserve">supra </w:t>
      </w:r>
      <w:r w:rsidRPr="009E1C12">
        <w:rPr>
          <w:rFonts w:asciiTheme="majorBidi" w:hAnsiTheme="majorBidi" w:cstheme="majorBidi"/>
        </w:rPr>
        <w:t>and accompanying text.</w:t>
      </w:r>
    </w:p>
  </w:footnote>
  <w:footnote w:id="63">
    <w:p w14:paraId="6B3CEF63" w14:textId="0D58E507" w:rsidR="001A3CF6" w:rsidRPr="009E1C12" w:rsidRDefault="001A3CF6" w:rsidP="0014222E">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“Researchers have long been aware of the importance to infants and young children of a healthy, secure attachment to at least one adult. Attachment is also critical to healthy development as children enter middle childhood and adolescence. Furthermore, benefits of secure attachments extend into adulthood…”</w:t>
      </w:r>
    </w:p>
    <w:p w14:paraId="482CF7B6" w14:textId="1FD6B07D" w:rsidR="001A3CF6" w:rsidRPr="009E1C12" w:rsidRDefault="001A3CF6">
      <w:pPr>
        <w:pStyle w:val="FootnoteText"/>
        <w:rPr>
          <w:rFonts w:asciiTheme="majorBidi" w:hAnsiTheme="majorBidi" w:cstheme="majorBidi"/>
        </w:rPr>
      </w:pPr>
      <w:r w:rsidRPr="009E1C12">
        <w:rPr>
          <w:rFonts w:asciiTheme="majorBidi" w:hAnsiTheme="majorBidi" w:cstheme="majorBidi"/>
        </w:rPr>
        <w:t xml:space="preserve">Dozier, </w:t>
      </w:r>
      <w:r w:rsidRPr="009E1C12">
        <w:rPr>
          <w:rFonts w:asciiTheme="majorBidi" w:hAnsiTheme="majorBidi" w:cstheme="majorBidi"/>
          <w:i/>
        </w:rPr>
        <w:t xml:space="preserve">et. al. </w:t>
      </w:r>
      <w:r w:rsidRPr="009E1C12">
        <w:rPr>
          <w:rFonts w:asciiTheme="majorBidi" w:hAnsiTheme="majorBidi" w:cstheme="majorBidi"/>
        </w:rPr>
        <w:t xml:space="preserve">(2014), </w:t>
      </w:r>
      <w:r w:rsidRPr="009E1C12">
        <w:rPr>
          <w:rFonts w:asciiTheme="majorBidi" w:hAnsiTheme="majorBidi" w:cstheme="majorBidi"/>
          <w:i/>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_Ref464124738 \h </w:instrText>
      </w:r>
      <w:r w:rsidRPr="00FF3EB3">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61</w:t>
      </w:r>
      <w:r w:rsidRPr="009E1C12">
        <w:rPr>
          <w:rFonts w:asciiTheme="majorBidi" w:hAnsiTheme="majorBidi" w:cstheme="majorBidi"/>
        </w:rPr>
        <w:fldChar w:fldCharType="end"/>
      </w:r>
      <w:r w:rsidRPr="009E1C12">
        <w:rPr>
          <w:rFonts w:asciiTheme="majorBidi" w:hAnsiTheme="majorBidi" w:cstheme="majorBidi"/>
        </w:rPr>
        <w:t>,</w:t>
      </w:r>
      <w:r>
        <w:rPr>
          <w:rFonts w:asciiTheme="majorBidi" w:hAnsiTheme="majorBidi" w:cstheme="majorBidi"/>
        </w:rPr>
        <w:t xml:space="preserve"> at</w:t>
      </w:r>
      <w:r w:rsidRPr="009E1C12">
        <w:rPr>
          <w:rFonts w:asciiTheme="majorBidi" w:hAnsiTheme="majorBidi" w:cstheme="majorBidi"/>
        </w:rPr>
        <w:t xml:space="preserve"> 220. </w:t>
      </w:r>
    </w:p>
  </w:footnote>
  <w:footnote w:id="64">
    <w:p w14:paraId="60D06F08" w14:textId="35DB130C" w:rsidR="001A3CF6" w:rsidRPr="009E1C12" w:rsidRDefault="001A3CF6">
      <w:pPr>
        <w:pStyle w:val="FootnoteText"/>
        <w:rPr>
          <w:rFonts w:asciiTheme="majorBidi" w:hAnsiTheme="majorBidi" w:cstheme="majorBidi"/>
          <w:b/>
        </w:rPr>
      </w:pPr>
      <w:r w:rsidRPr="00186D5B">
        <w:rPr>
          <w:rStyle w:val="FootnoteReference"/>
          <w:rFonts w:asciiTheme="majorBidi" w:hAnsiTheme="majorBidi" w:cstheme="majorBidi"/>
        </w:rPr>
        <w:footnoteRef/>
      </w:r>
      <w:r w:rsidRPr="005A096C">
        <w:rPr>
          <w:rFonts w:asciiTheme="majorBidi" w:hAnsiTheme="majorBidi" w:cstheme="majorBidi"/>
        </w:rPr>
        <w:t xml:space="preserve"> </w:t>
      </w:r>
      <w:r w:rsidRPr="00B57B6A">
        <w:rPr>
          <w:rFonts w:asciiTheme="majorBidi" w:hAnsiTheme="majorBidi" w:cstheme="majorBidi"/>
        </w:rPr>
        <w:t xml:space="preserve">J Williamson and A Greenberg, </w:t>
      </w:r>
      <w:r w:rsidRPr="00B57B6A">
        <w:rPr>
          <w:rFonts w:asciiTheme="majorBidi" w:hAnsiTheme="majorBidi" w:cstheme="majorBidi"/>
          <w:smallCaps/>
        </w:rPr>
        <w:t>Families not orphanages: a Better Care Network working paper</w:t>
      </w:r>
      <w:r w:rsidRPr="00B57B6A">
        <w:rPr>
          <w:rFonts w:asciiTheme="majorBidi" w:hAnsiTheme="majorBidi" w:cstheme="majorBidi"/>
        </w:rPr>
        <w:t xml:space="preserve"> (2010)</w:t>
      </w:r>
      <w:r w:rsidRPr="00B57B6A">
        <w:rPr>
          <w:rFonts w:asciiTheme="majorBidi" w:hAnsiTheme="majorBidi" w:cstheme="majorBidi"/>
          <w:b/>
        </w:rPr>
        <w:t xml:space="preserve"> </w:t>
      </w:r>
      <w:r w:rsidRPr="00B57B6A">
        <w:rPr>
          <w:rFonts w:asciiTheme="majorBidi" w:hAnsiTheme="majorBidi" w:cstheme="majorBidi"/>
        </w:rPr>
        <w:t>at 6.</w:t>
      </w:r>
      <w:r w:rsidRPr="00B57B6A">
        <w:rPr>
          <w:rFonts w:asciiTheme="majorBidi" w:hAnsiTheme="majorBidi" w:cstheme="majorBidi"/>
          <w:b/>
        </w:rPr>
        <w:t xml:space="preserve"> </w:t>
      </w:r>
    </w:p>
  </w:footnote>
  <w:footnote w:id="65">
    <w:p w14:paraId="37B410B4" w14:textId="0A3D63AF"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Dozier, </w:t>
      </w:r>
      <w:r w:rsidRPr="009E1C12">
        <w:rPr>
          <w:rFonts w:asciiTheme="majorBidi" w:hAnsiTheme="majorBidi" w:cstheme="majorBidi"/>
          <w:i/>
          <w:lang w:val="es-MX"/>
        </w:rPr>
        <w:t>et. al.</w:t>
      </w:r>
      <w:r w:rsidRPr="009E1C12">
        <w:rPr>
          <w:rFonts w:asciiTheme="majorBidi" w:hAnsiTheme="majorBidi" w:cstheme="majorBidi"/>
          <w:lang w:val="es-MX"/>
        </w:rPr>
        <w:t xml:space="preserve"> (2015), </w:t>
      </w:r>
      <w:r w:rsidRPr="009E1C12">
        <w:rPr>
          <w:rFonts w:asciiTheme="majorBidi" w:hAnsiTheme="majorBidi" w:cstheme="majorBidi"/>
          <w:i/>
          <w:lang w:val="es-MX"/>
        </w:rPr>
        <w:t xml:space="preserve">supra </w:t>
      </w:r>
      <w:r w:rsidRPr="009E1C12">
        <w:rPr>
          <w:rFonts w:asciiTheme="majorBidi" w:hAnsiTheme="majorBidi" w:cstheme="majorBidi"/>
          <w:lang w:val="es-MX"/>
        </w:rPr>
        <w:t xml:space="preserve">note </w:t>
      </w:r>
      <w:r w:rsidRPr="009E1C12">
        <w:rPr>
          <w:rFonts w:asciiTheme="majorBidi" w:hAnsiTheme="majorBidi" w:cstheme="majorBidi"/>
          <w:lang w:val="es-MX"/>
        </w:rPr>
        <w:fldChar w:fldCharType="begin"/>
      </w:r>
      <w:r w:rsidRPr="009E1C12">
        <w:rPr>
          <w:rFonts w:asciiTheme="majorBidi" w:hAnsiTheme="majorBidi" w:cstheme="majorBidi"/>
          <w:lang w:val="es-MX"/>
        </w:rPr>
        <w:instrText xml:space="preserve"> NOTEREF _Ref464124738 \h </w:instrText>
      </w:r>
      <w:r w:rsidRPr="00FF3EB3">
        <w:rPr>
          <w:rFonts w:asciiTheme="majorBidi" w:hAnsiTheme="majorBidi" w:cstheme="majorBidi"/>
          <w:lang w:val="es-MX"/>
        </w:rPr>
        <w:instrText xml:space="preserve"> \* MERGEFORMAT </w:instrText>
      </w:r>
      <w:r w:rsidRPr="009E1C12">
        <w:rPr>
          <w:rFonts w:asciiTheme="majorBidi" w:hAnsiTheme="majorBidi" w:cstheme="majorBidi"/>
          <w:lang w:val="es-MX"/>
        </w:rPr>
      </w:r>
      <w:r w:rsidRPr="009E1C12">
        <w:rPr>
          <w:rFonts w:asciiTheme="majorBidi" w:hAnsiTheme="majorBidi" w:cstheme="majorBidi"/>
          <w:lang w:val="es-MX"/>
        </w:rPr>
        <w:fldChar w:fldCharType="separate"/>
      </w:r>
      <w:r>
        <w:rPr>
          <w:rFonts w:asciiTheme="majorBidi" w:hAnsiTheme="majorBidi" w:cstheme="majorBidi"/>
          <w:lang w:val="es-MX"/>
        </w:rPr>
        <w:t>61</w:t>
      </w:r>
      <w:r w:rsidRPr="009E1C12">
        <w:rPr>
          <w:rFonts w:asciiTheme="majorBidi" w:hAnsiTheme="majorBidi" w:cstheme="majorBidi"/>
          <w:lang w:val="es-MX"/>
        </w:rPr>
        <w:fldChar w:fldCharType="end"/>
      </w:r>
      <w:r w:rsidRPr="009E1C12">
        <w:rPr>
          <w:rFonts w:asciiTheme="majorBidi" w:hAnsiTheme="majorBidi" w:cstheme="majorBidi"/>
        </w:rPr>
        <w:t>,</w:t>
      </w:r>
      <w:r>
        <w:rPr>
          <w:rFonts w:asciiTheme="majorBidi" w:hAnsiTheme="majorBidi" w:cstheme="majorBidi"/>
        </w:rPr>
        <w:t xml:space="preserve"> at</w:t>
      </w:r>
      <w:r w:rsidRPr="009E1C12">
        <w:rPr>
          <w:rFonts w:asciiTheme="majorBidi" w:hAnsiTheme="majorBidi" w:cstheme="majorBidi"/>
        </w:rPr>
        <w:t xml:space="preserve"> 220.</w:t>
      </w:r>
    </w:p>
  </w:footnote>
  <w:footnote w:id="66">
    <w:p w14:paraId="32F72D41" w14:textId="28B073E7" w:rsidR="001A3CF6" w:rsidRPr="009E1C12" w:rsidRDefault="001A3CF6" w:rsidP="006A0E44">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United Nations Office of the High Commissioner on Human Rights</w:t>
      </w:r>
      <w:r w:rsidRPr="00EF3FA4">
        <w:rPr>
          <w:rFonts w:asciiTheme="majorBidi" w:hAnsiTheme="majorBidi" w:cstheme="majorBidi"/>
        </w:rPr>
        <w:t>, Regional Office for</w:t>
      </w:r>
      <w:r w:rsidRPr="009E1C12">
        <w:rPr>
          <w:rFonts w:asciiTheme="majorBidi" w:hAnsiTheme="majorBidi" w:cstheme="majorBidi"/>
        </w:rPr>
        <w:t xml:space="preserve"> Europe, </w:t>
      </w:r>
      <w:r w:rsidRPr="009E1C12">
        <w:rPr>
          <w:rFonts w:asciiTheme="majorBidi" w:hAnsiTheme="majorBidi" w:cstheme="majorBidi"/>
          <w:i/>
          <w:iCs/>
        </w:rPr>
        <w:t>The Rights of Vulnerable Children Under the Age of Three: Ending their Placement in Institutional Care</w:t>
      </w:r>
      <w:r w:rsidRPr="009E1C12">
        <w:rPr>
          <w:rFonts w:asciiTheme="majorBidi" w:hAnsiTheme="majorBidi" w:cstheme="majorBidi"/>
        </w:rPr>
        <w:t xml:space="preserve">, 19 (2011) </w:t>
      </w:r>
      <w:r w:rsidRPr="00EF3FA4">
        <w:rPr>
          <w:rFonts w:asciiTheme="majorBidi" w:hAnsiTheme="majorBidi" w:cstheme="majorBidi"/>
        </w:rPr>
        <w:t>(</w:t>
      </w:r>
      <w:r w:rsidRPr="009E1C12">
        <w:rPr>
          <w:rFonts w:asciiTheme="majorBidi" w:hAnsiTheme="majorBidi" w:cstheme="majorBidi"/>
        </w:rPr>
        <w:t xml:space="preserve">hereinafter </w:t>
      </w:r>
      <w:r w:rsidRPr="00EF3FA4">
        <w:rPr>
          <w:rFonts w:asciiTheme="majorBidi" w:hAnsiTheme="majorBidi" w:cstheme="majorBidi"/>
        </w:rPr>
        <w:t>“</w:t>
      </w:r>
      <w:r w:rsidRPr="009E1C12">
        <w:rPr>
          <w:rFonts w:asciiTheme="majorBidi" w:hAnsiTheme="majorBidi" w:cstheme="majorBidi"/>
        </w:rPr>
        <w:t xml:space="preserve">Europe Regional Office of the </w:t>
      </w:r>
      <w:r w:rsidRPr="00EF3FA4">
        <w:rPr>
          <w:rFonts w:asciiTheme="majorBidi" w:hAnsiTheme="majorBidi" w:cstheme="majorBidi"/>
        </w:rPr>
        <w:t>O</w:t>
      </w:r>
      <w:r w:rsidRPr="009E1C12">
        <w:rPr>
          <w:rFonts w:asciiTheme="majorBidi" w:hAnsiTheme="majorBidi" w:cstheme="majorBidi"/>
        </w:rPr>
        <w:t>HCHR (2011)</w:t>
      </w:r>
      <w:r w:rsidRPr="00EF3FA4">
        <w:rPr>
          <w:rFonts w:asciiTheme="majorBidi" w:hAnsiTheme="majorBidi" w:cstheme="majorBidi"/>
        </w:rPr>
        <w:t>”)</w:t>
      </w:r>
      <w:r w:rsidRPr="009E1C12">
        <w:rPr>
          <w:rFonts w:asciiTheme="majorBidi" w:hAnsiTheme="majorBidi" w:cstheme="majorBidi"/>
        </w:rPr>
        <w:t>.</w:t>
      </w:r>
    </w:p>
  </w:footnote>
  <w:footnote w:id="67">
    <w:p w14:paraId="51DF03D6" w14:textId="06CF0057" w:rsidR="001A3CF6" w:rsidRPr="009E1C12" w:rsidRDefault="001A3CF6" w:rsidP="00BA6B37">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Georgette Mulheir, </w:t>
      </w:r>
      <w:r w:rsidRPr="009E1C12">
        <w:rPr>
          <w:rFonts w:asciiTheme="majorBidi" w:hAnsiTheme="majorBidi" w:cstheme="majorBidi"/>
          <w:i/>
          <w:iCs/>
        </w:rPr>
        <w:t>Deinstitutionalization: a human rights priority for children with disabilities</w:t>
      </w:r>
      <w:r w:rsidRPr="009E1C12">
        <w:rPr>
          <w:rFonts w:asciiTheme="majorBidi" w:hAnsiTheme="majorBidi" w:cstheme="majorBidi"/>
        </w:rPr>
        <w:t xml:space="preserve">, 9 </w:t>
      </w:r>
      <w:r w:rsidRPr="009E1C12">
        <w:rPr>
          <w:rFonts w:asciiTheme="majorBidi" w:hAnsiTheme="majorBidi" w:cstheme="majorBidi"/>
          <w:smallCaps/>
        </w:rPr>
        <w:t xml:space="preserve">Equal Rights Review </w:t>
      </w:r>
      <w:r w:rsidRPr="009E1C12">
        <w:rPr>
          <w:rFonts w:asciiTheme="majorBidi" w:hAnsiTheme="majorBidi" w:cstheme="majorBidi"/>
        </w:rPr>
        <w:t>120 (2012).</w:t>
      </w:r>
    </w:p>
  </w:footnote>
  <w:footnote w:id="68">
    <w:p w14:paraId="0A9FAC7A" w14:textId="0B0709A3" w:rsidR="001A3CF6" w:rsidRPr="009E1C12" w:rsidRDefault="001A3CF6" w:rsidP="00D87978">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Laurie Ahern, </w:t>
      </w:r>
      <w:r w:rsidRPr="009E1C12">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_Ref471732026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9E1C12">
        <w:rPr>
          <w:rFonts w:asciiTheme="majorBidi" w:hAnsiTheme="majorBidi" w:cstheme="majorBidi"/>
        </w:rPr>
        <w:t>. Disability Rights International reports</w:t>
      </w:r>
      <w:r>
        <w:rPr>
          <w:rFonts w:asciiTheme="majorBidi" w:hAnsiTheme="majorBidi" w:cstheme="majorBidi"/>
        </w:rPr>
        <w:t xml:space="preserve"> on Mexico, Guatemala, and Ukraine</w:t>
      </w:r>
      <w:r w:rsidRPr="009E1C12">
        <w:rPr>
          <w:rFonts w:asciiTheme="majorBidi" w:hAnsiTheme="majorBidi" w:cstheme="majorBidi"/>
        </w:rPr>
        <w:t xml:space="preserve"> are posted on the web at </w:t>
      </w:r>
      <w:hyperlink r:id="rId12" w:history="1">
        <w:r w:rsidRPr="009E1C12">
          <w:rPr>
            <w:rStyle w:val="Hyperlink"/>
            <w:rFonts w:asciiTheme="majorBidi" w:hAnsiTheme="majorBidi" w:cstheme="majorBidi"/>
          </w:rPr>
          <w:t>www.DRIadvocacy.org</w:t>
        </w:r>
      </w:hyperlink>
      <w:r w:rsidRPr="009E1C12">
        <w:rPr>
          <w:rFonts w:asciiTheme="majorBidi" w:hAnsiTheme="majorBidi" w:cstheme="majorBidi"/>
        </w:rPr>
        <w:t xml:space="preserve">. </w:t>
      </w:r>
    </w:p>
  </w:footnote>
  <w:footnote w:id="69">
    <w:p w14:paraId="403DA7F5" w14:textId="78CD8F6D"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Disability Rights International, </w:t>
      </w:r>
      <w:r w:rsidRPr="009E1C12">
        <w:rPr>
          <w:rFonts w:asciiTheme="majorBidi" w:hAnsiTheme="majorBidi" w:cstheme="majorBidi"/>
          <w:smallCaps/>
        </w:rPr>
        <w:t>Twice Violated: Abuse and Denial of Sexual and Reproductive Rights of Women with Psychosocial Disabilities in Mexico</w:t>
      </w:r>
      <w:r w:rsidRPr="009E1C12">
        <w:rPr>
          <w:rFonts w:asciiTheme="majorBidi" w:hAnsiTheme="majorBidi" w:cstheme="majorBidi"/>
        </w:rPr>
        <w:t xml:space="preserve"> (2015).</w:t>
      </w:r>
    </w:p>
  </w:footnote>
  <w:footnote w:id="70">
    <w:p w14:paraId="3518D2BB" w14:textId="3517D566" w:rsidR="001A3CF6" w:rsidRPr="009E1C12" w:rsidRDefault="001A3CF6" w:rsidP="00CB5C33">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Save the Children, </w:t>
      </w:r>
      <w:r w:rsidRPr="009E1C12">
        <w:rPr>
          <w:rFonts w:asciiTheme="majorBidi" w:hAnsiTheme="majorBidi" w:cstheme="majorBidi"/>
          <w:smallCaps/>
        </w:rPr>
        <w:t>The Risk of Harm to Young Children in Institutional Care</w:t>
      </w:r>
      <w:r w:rsidRPr="009E1C12">
        <w:rPr>
          <w:rFonts w:asciiTheme="majorBidi" w:hAnsiTheme="majorBidi" w:cstheme="majorBidi"/>
        </w:rPr>
        <w:t>, (2009)</w:t>
      </w:r>
      <w:r w:rsidRPr="00FF3EB3">
        <w:rPr>
          <w:rFonts w:asciiTheme="majorBidi" w:hAnsiTheme="majorBidi" w:cstheme="majorBidi"/>
        </w:rPr>
        <w:t xml:space="preserve"> 13 </w:t>
      </w:r>
      <w:r w:rsidRPr="009E1C12">
        <w:rPr>
          <w:rFonts w:asciiTheme="majorBidi" w:hAnsiTheme="majorBidi" w:cstheme="majorBidi"/>
        </w:rPr>
        <w:t xml:space="preserve">(“In terms of emotional attachments, even apparently ‘good quality’ institutional care can have a detrimental effect on children’s </w:t>
      </w:r>
      <w:r w:rsidRPr="005A096C">
        <w:rPr>
          <w:rFonts w:asciiTheme="majorBidi" w:hAnsiTheme="majorBidi" w:cstheme="majorBidi"/>
        </w:rPr>
        <w:t xml:space="preserve">ability to form relationships throughout life”); </w:t>
      </w:r>
      <w:r w:rsidRPr="007C5313">
        <w:rPr>
          <w:rFonts w:asciiTheme="majorBidi" w:hAnsiTheme="majorBidi" w:cstheme="majorBidi"/>
          <w:i/>
        </w:rPr>
        <w:t>See also</w:t>
      </w:r>
      <w:r w:rsidRPr="00BD04E4">
        <w:rPr>
          <w:rFonts w:asciiTheme="majorBidi" w:hAnsiTheme="majorBidi" w:cstheme="majorBidi"/>
        </w:rPr>
        <w:t xml:space="preserve"> </w:t>
      </w:r>
      <w:r w:rsidRPr="00C941D3">
        <w:rPr>
          <w:rFonts w:asciiTheme="majorBidi" w:hAnsiTheme="majorBidi" w:cstheme="majorBidi"/>
        </w:rPr>
        <w:t>Europe</w:t>
      </w:r>
      <w:r>
        <w:rPr>
          <w:rFonts w:asciiTheme="majorBidi" w:hAnsiTheme="majorBidi" w:cstheme="majorBidi"/>
        </w:rPr>
        <w:t>an</w:t>
      </w:r>
      <w:r w:rsidRPr="00C941D3">
        <w:rPr>
          <w:rFonts w:asciiTheme="majorBidi" w:hAnsiTheme="majorBidi" w:cstheme="majorBidi"/>
        </w:rPr>
        <w:t xml:space="preserve"> Regional Office of the </w:t>
      </w:r>
      <w:r w:rsidRPr="00C71D58">
        <w:rPr>
          <w:rFonts w:asciiTheme="majorBidi" w:hAnsiTheme="majorBidi" w:cstheme="majorBidi"/>
        </w:rPr>
        <w:t xml:space="preserve">OHCHR (2011), </w:t>
      </w:r>
      <w:r w:rsidRPr="00C71D58">
        <w:rPr>
          <w:rFonts w:asciiTheme="majorBidi" w:hAnsiTheme="majorBidi" w:cstheme="majorBidi"/>
          <w:i/>
        </w:rPr>
        <w:t>supra</w:t>
      </w:r>
      <w:r w:rsidRPr="00C71D58">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_Ref334698833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66</w:t>
      </w:r>
      <w:r>
        <w:rPr>
          <w:rFonts w:asciiTheme="majorBidi" w:hAnsiTheme="majorBidi" w:cstheme="majorBidi"/>
        </w:rPr>
        <w:fldChar w:fldCharType="end"/>
      </w:r>
      <w:r>
        <w:rPr>
          <w:rFonts w:asciiTheme="majorBidi" w:hAnsiTheme="majorBidi" w:cstheme="majorBidi"/>
        </w:rPr>
        <w:t xml:space="preserve"> at</w:t>
      </w:r>
      <w:r w:rsidRPr="005A096C">
        <w:rPr>
          <w:rFonts w:asciiTheme="majorBidi" w:hAnsiTheme="majorBidi" w:cstheme="majorBidi"/>
        </w:rPr>
        <w:t xml:space="preserve"> 19.</w:t>
      </w:r>
      <w:r w:rsidRPr="009E1C12">
        <w:rPr>
          <w:rFonts w:asciiTheme="majorBidi" w:hAnsiTheme="majorBidi" w:cstheme="majorBidi"/>
        </w:rPr>
        <w:t xml:space="preserve"> </w:t>
      </w:r>
    </w:p>
  </w:footnote>
  <w:footnote w:id="71">
    <w:p w14:paraId="3E422563" w14:textId="644C0655"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Id. </w:t>
      </w:r>
      <w:r w:rsidRPr="009E1C12">
        <w:rPr>
          <w:rFonts w:asciiTheme="majorBidi" w:hAnsiTheme="majorBidi" w:cstheme="majorBidi"/>
        </w:rPr>
        <w:t>(emphasis added).</w:t>
      </w:r>
    </w:p>
  </w:footnote>
  <w:footnote w:id="72">
    <w:p w14:paraId="5C718C28" w14:textId="12FF84EF"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Id. </w:t>
      </w:r>
      <w:r w:rsidRPr="009E1C12">
        <w:rPr>
          <w:rFonts w:asciiTheme="majorBidi" w:hAnsiTheme="majorBidi" w:cstheme="majorBidi"/>
        </w:rPr>
        <w:t>(emphasis added).</w:t>
      </w:r>
    </w:p>
  </w:footnote>
  <w:footnote w:id="73">
    <w:p w14:paraId="2BC95ED7" w14:textId="023953BD" w:rsidR="001A3CF6" w:rsidRPr="009E1C12" w:rsidRDefault="001A3CF6">
      <w:pPr>
        <w:pStyle w:val="FootnoteText"/>
        <w:rPr>
          <w:rFonts w:asciiTheme="majorBidi" w:hAnsiTheme="majorBidi" w:cstheme="majorBidi"/>
        </w:rPr>
      </w:pPr>
      <w:r w:rsidRPr="005B561C">
        <w:rPr>
          <w:rStyle w:val="FootnoteReference"/>
          <w:rFonts w:asciiTheme="majorBidi" w:hAnsiTheme="majorBidi" w:cstheme="majorBidi"/>
        </w:rPr>
        <w:footnoteRef/>
      </w:r>
      <w:r w:rsidRPr="005B561C">
        <w:rPr>
          <w:rFonts w:asciiTheme="majorBidi" w:hAnsiTheme="majorBidi" w:cstheme="majorBidi"/>
        </w:rPr>
        <w:t xml:space="preserve"> UNICEF: State of the World’s Children (2013), </w:t>
      </w:r>
      <w:r w:rsidRPr="00B57B6A">
        <w:rPr>
          <w:rFonts w:asciiTheme="majorBidi" w:hAnsiTheme="majorBidi" w:cstheme="majorBidi"/>
          <w:i/>
        </w:rPr>
        <w:t xml:space="preserve">supra </w:t>
      </w:r>
      <w:r w:rsidRPr="00B57B6A">
        <w:rPr>
          <w:rFonts w:asciiTheme="majorBidi" w:hAnsiTheme="majorBidi" w:cstheme="majorBidi"/>
        </w:rPr>
        <w:t xml:space="preserve">note </w:t>
      </w:r>
      <w:r w:rsidRPr="00B57B6A">
        <w:rPr>
          <w:rFonts w:asciiTheme="majorBidi" w:hAnsiTheme="majorBidi" w:cstheme="majorBidi"/>
        </w:rPr>
        <w:fldChar w:fldCharType="begin"/>
      </w:r>
      <w:r w:rsidRPr="00B57B6A">
        <w:rPr>
          <w:rFonts w:asciiTheme="majorBidi" w:hAnsiTheme="majorBidi" w:cstheme="majorBidi"/>
        </w:rPr>
        <w:instrText xml:space="preserve"> NOTEREF _Ref464126805 \h  \* MERGEFORMAT </w:instrText>
      </w:r>
      <w:r w:rsidRPr="00B57B6A">
        <w:rPr>
          <w:rFonts w:asciiTheme="majorBidi" w:hAnsiTheme="majorBidi" w:cstheme="majorBidi"/>
        </w:rPr>
      </w:r>
      <w:r w:rsidRPr="00B57B6A">
        <w:rPr>
          <w:rFonts w:asciiTheme="majorBidi" w:hAnsiTheme="majorBidi" w:cstheme="majorBidi"/>
        </w:rPr>
        <w:fldChar w:fldCharType="separate"/>
      </w:r>
      <w:r>
        <w:rPr>
          <w:rFonts w:asciiTheme="majorBidi" w:hAnsiTheme="majorBidi" w:cstheme="majorBidi"/>
        </w:rPr>
        <w:t>55</w:t>
      </w:r>
      <w:r w:rsidRPr="00B57B6A">
        <w:rPr>
          <w:rFonts w:asciiTheme="majorBidi" w:hAnsiTheme="majorBidi" w:cstheme="majorBidi"/>
        </w:rPr>
        <w:fldChar w:fldCharType="end"/>
      </w:r>
      <w:r w:rsidRPr="005B561C">
        <w:rPr>
          <w:rFonts w:asciiTheme="majorBidi" w:hAnsiTheme="majorBidi" w:cstheme="majorBidi"/>
        </w:rPr>
        <w:t xml:space="preserve">, </w:t>
      </w:r>
      <w:r>
        <w:rPr>
          <w:rFonts w:asciiTheme="majorBidi" w:hAnsiTheme="majorBidi" w:cstheme="majorBidi"/>
        </w:rPr>
        <w:t xml:space="preserve">at </w:t>
      </w:r>
      <w:r w:rsidRPr="005B561C">
        <w:rPr>
          <w:rFonts w:asciiTheme="majorBidi" w:hAnsiTheme="majorBidi" w:cstheme="majorBidi"/>
        </w:rPr>
        <w:t>80.</w:t>
      </w:r>
    </w:p>
  </w:footnote>
  <w:footnote w:id="74">
    <w:p w14:paraId="307C5732" w14:textId="6C4E2DBC" w:rsidR="001A3CF6" w:rsidRPr="009E1C12" w:rsidRDefault="001A3CF6">
      <w:pPr>
        <w:pStyle w:val="FootnoteText"/>
        <w:rPr>
          <w:rFonts w:asciiTheme="majorBidi" w:hAnsiTheme="majorBidi" w:cstheme="majorBidi"/>
          <w:b/>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rPr>
        <w:t xml:space="preserve"> at</w:t>
      </w:r>
      <w:r w:rsidRPr="00FF3EB3">
        <w:rPr>
          <w:rFonts w:asciiTheme="majorBidi" w:hAnsiTheme="majorBidi" w:cstheme="majorBidi"/>
        </w:rPr>
        <w:t xml:space="preserve"> </w:t>
      </w:r>
      <w:r w:rsidRPr="009E1C12">
        <w:rPr>
          <w:rFonts w:asciiTheme="majorBidi" w:hAnsiTheme="majorBidi" w:cstheme="majorBidi"/>
        </w:rPr>
        <w:t xml:space="preserve">80. </w:t>
      </w:r>
    </w:p>
  </w:footnote>
  <w:footnote w:id="75">
    <w:p w14:paraId="528126B5" w14:textId="7BC6EBBF" w:rsidR="001A3CF6" w:rsidRPr="00865F45" w:rsidRDefault="001A3CF6" w:rsidP="007329B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rPr>
        <w:t xml:space="preserve"> at</w:t>
      </w:r>
      <w:r w:rsidRPr="00FF3EB3">
        <w:rPr>
          <w:rFonts w:asciiTheme="majorBidi" w:hAnsiTheme="majorBidi" w:cstheme="majorBidi"/>
        </w:rPr>
        <w:t xml:space="preserve"> </w:t>
      </w:r>
      <w:r w:rsidRPr="009E1C12">
        <w:rPr>
          <w:rFonts w:asciiTheme="majorBidi" w:hAnsiTheme="majorBidi" w:cstheme="majorBidi"/>
        </w:rPr>
        <w:t xml:space="preserve">46. The legal and policy arguments for a moratorium on new placements in institutions is set forth in Eric </w:t>
      </w:r>
      <w:r w:rsidRPr="00865F45">
        <w:rPr>
          <w:rFonts w:asciiTheme="majorBidi" w:hAnsiTheme="majorBidi" w:cstheme="majorBidi"/>
        </w:rPr>
        <w:t xml:space="preserve">Rosenthal and Laurie Ahern (2013), </w:t>
      </w:r>
      <w:r w:rsidRPr="00B57B6A">
        <w:rPr>
          <w:rFonts w:asciiTheme="majorBidi" w:hAnsiTheme="majorBidi" w:cstheme="majorBidi"/>
          <w:i/>
        </w:rPr>
        <w:t>supra</w:t>
      </w:r>
      <w:r w:rsidRPr="00B57B6A">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_Ref471732026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rsidRPr="00865F45">
        <w:rPr>
          <w:rFonts w:asciiTheme="majorBidi" w:hAnsiTheme="majorBidi" w:cstheme="majorBidi"/>
        </w:rPr>
        <w:t>, at 193-200.</w:t>
      </w:r>
    </w:p>
  </w:footnote>
  <w:footnote w:id="76">
    <w:p w14:paraId="6FAB8E82" w14:textId="501567C8" w:rsidR="001A3CF6" w:rsidRPr="009E1C12" w:rsidRDefault="001A3CF6" w:rsidP="00620A14">
      <w:pPr>
        <w:pStyle w:val="FootnoteText"/>
        <w:rPr>
          <w:rFonts w:asciiTheme="majorBidi" w:hAnsiTheme="majorBidi" w:cstheme="majorBidi"/>
          <w:smallCaps/>
        </w:rPr>
      </w:pPr>
      <w:r w:rsidRPr="00865F45">
        <w:rPr>
          <w:rStyle w:val="FootnoteReference"/>
          <w:rFonts w:asciiTheme="majorBidi" w:hAnsiTheme="majorBidi" w:cstheme="majorBidi"/>
        </w:rPr>
        <w:footnoteRef/>
      </w:r>
      <w:r w:rsidRPr="00865F45">
        <w:rPr>
          <w:rFonts w:asciiTheme="majorBidi" w:hAnsiTheme="majorBidi" w:cstheme="majorBidi"/>
        </w:rPr>
        <w:t xml:space="preserve"> </w:t>
      </w:r>
      <w:r w:rsidRPr="00B57B6A">
        <w:rPr>
          <w:rFonts w:asciiTheme="majorBidi" w:hAnsiTheme="majorBidi" w:cstheme="majorBidi"/>
        </w:rPr>
        <w:t>World Health Organization Regional Office for Europe, “European Declaration on the Health of Children and Young People with Intellectual Disabilities and their Families” [hereinafter “Bucharest Declaration”],</w:t>
      </w:r>
      <w:r w:rsidRPr="00B57B6A">
        <w:rPr>
          <w:rFonts w:asciiTheme="majorBidi" w:hAnsiTheme="majorBidi" w:cstheme="majorBidi"/>
          <w:smallCaps/>
        </w:rPr>
        <w:t xml:space="preserve"> </w:t>
      </w:r>
      <w:r w:rsidRPr="00B57B6A">
        <w:rPr>
          <w:rFonts w:asciiTheme="majorBidi" w:hAnsiTheme="majorBidi" w:cstheme="majorBidi"/>
        </w:rPr>
        <w:t xml:space="preserve">Para. 5, </w:t>
      </w:r>
      <w:r w:rsidRPr="00B57B6A">
        <w:rPr>
          <w:rFonts w:asciiTheme="majorBidi" w:hAnsiTheme="majorBidi" w:cstheme="majorBidi"/>
          <w:i/>
        </w:rPr>
        <w:t>in</w:t>
      </w:r>
      <w:r w:rsidRPr="00B57B6A">
        <w:rPr>
          <w:rFonts w:asciiTheme="majorBidi" w:hAnsiTheme="majorBidi" w:cstheme="majorBidi"/>
        </w:rPr>
        <w:t xml:space="preserve"> </w:t>
      </w:r>
      <w:r w:rsidRPr="00B57B6A">
        <w:rPr>
          <w:rFonts w:asciiTheme="majorBidi" w:hAnsiTheme="majorBidi" w:cstheme="majorBidi"/>
          <w:smallCaps/>
        </w:rPr>
        <w:t>Better health, better lives: Children and young people with intellectual disabilities and their families</w:t>
      </w:r>
      <w:r>
        <w:rPr>
          <w:rFonts w:asciiTheme="majorBidi" w:hAnsiTheme="majorBidi" w:cstheme="majorBidi"/>
          <w:smallCaps/>
        </w:rPr>
        <w:t>,</w:t>
      </w:r>
      <w:r w:rsidRPr="00B57B6A">
        <w:rPr>
          <w:rFonts w:asciiTheme="majorBidi" w:hAnsiTheme="majorBidi" w:cstheme="majorBidi"/>
          <w:smallCaps/>
        </w:rPr>
        <w:t xml:space="preserve"> EUR/51298/17/6 </w:t>
      </w:r>
      <w:r>
        <w:rPr>
          <w:rFonts w:asciiTheme="majorBidi" w:hAnsiTheme="majorBidi" w:cstheme="majorBidi"/>
          <w:smallCaps/>
        </w:rPr>
        <w:t>(</w:t>
      </w:r>
      <w:r w:rsidRPr="00B57B6A">
        <w:rPr>
          <w:rFonts w:asciiTheme="majorBidi" w:hAnsiTheme="majorBidi" w:cstheme="majorBidi"/>
          <w:smallCaps/>
        </w:rPr>
        <w:t>2010</w:t>
      </w:r>
      <w:r>
        <w:rPr>
          <w:rFonts w:asciiTheme="majorBidi" w:hAnsiTheme="majorBidi" w:cstheme="majorBidi"/>
          <w:smallCaps/>
        </w:rPr>
        <w:t>)</w:t>
      </w:r>
      <w:r w:rsidRPr="00865F45">
        <w:rPr>
          <w:rFonts w:asciiTheme="majorBidi" w:hAnsiTheme="majorBidi" w:cstheme="majorBidi"/>
          <w:smallCaps/>
        </w:rPr>
        <w:t>.</w:t>
      </w:r>
      <w:r w:rsidRPr="009E1C12">
        <w:rPr>
          <w:rFonts w:asciiTheme="majorBidi" w:hAnsiTheme="majorBidi" w:cstheme="majorBidi"/>
          <w:smallCaps/>
        </w:rPr>
        <w:t xml:space="preserve"> </w:t>
      </w:r>
    </w:p>
  </w:footnote>
  <w:footnote w:id="77">
    <w:p w14:paraId="5BC545CE" w14:textId="603B30AE" w:rsidR="001A3CF6" w:rsidRPr="009E1C12" w:rsidRDefault="001A3CF6" w:rsidP="00C952B1">
      <w:pPr>
        <w:pStyle w:val="FootnoteText"/>
        <w:rPr>
          <w:rFonts w:asciiTheme="majorBidi" w:hAnsiTheme="majorBidi" w:cstheme="majorBidi"/>
          <w:b/>
        </w:rPr>
      </w:pPr>
      <w:r w:rsidRPr="009E1C12">
        <w:rPr>
          <w:rStyle w:val="FootnoteReference"/>
          <w:rFonts w:asciiTheme="majorBidi" w:hAnsiTheme="majorBidi" w:cstheme="majorBidi"/>
        </w:rPr>
        <w:footnoteRef/>
      </w:r>
      <w:r w:rsidRPr="009E1C12">
        <w:rPr>
          <w:rFonts w:asciiTheme="majorBidi" w:hAnsiTheme="majorBidi" w:cstheme="majorBidi"/>
        </w:rPr>
        <w:t xml:space="preserve"> The European Commissioner for Human Rights went even further calling for no new institutional admissions of either children or adults with disabilities.</w:t>
      </w:r>
      <w:r w:rsidRPr="009E1C12">
        <w:rPr>
          <w:rFonts w:asciiTheme="majorBidi" w:hAnsiTheme="majorBidi" w:cstheme="majorBidi"/>
          <w:b/>
        </w:rPr>
        <w:t xml:space="preserve"> </w:t>
      </w:r>
      <w:r w:rsidRPr="009E1C12">
        <w:rPr>
          <w:rFonts w:asciiTheme="majorBidi" w:hAnsiTheme="majorBidi" w:cstheme="majorBidi"/>
        </w:rPr>
        <w:t xml:space="preserve">European Commissioner on Human Rights, </w:t>
      </w:r>
      <w:r w:rsidRPr="009E1C12">
        <w:rPr>
          <w:rFonts w:asciiTheme="majorBidi" w:hAnsiTheme="majorBidi" w:cstheme="majorBidi"/>
          <w:smallCaps/>
        </w:rPr>
        <w:t>The Right of People with Disabilities to Live Independently and be Included in the Community</w:t>
      </w:r>
      <w:r w:rsidRPr="009E1C12">
        <w:rPr>
          <w:rFonts w:asciiTheme="majorBidi" w:hAnsiTheme="majorBidi" w:cstheme="majorBidi"/>
        </w:rPr>
        <w:t>, CommDH/IssuePaper (</w:t>
      </w:r>
      <w:r w:rsidRPr="00FF3EB3">
        <w:rPr>
          <w:rFonts w:asciiTheme="majorBidi" w:hAnsiTheme="majorBidi" w:cstheme="majorBidi"/>
        </w:rPr>
        <w:t xml:space="preserve">Council of Europe, </w:t>
      </w:r>
      <w:r w:rsidRPr="009E1C12">
        <w:rPr>
          <w:rFonts w:asciiTheme="majorBidi" w:hAnsiTheme="majorBidi" w:cstheme="majorBidi"/>
        </w:rPr>
        <w:t>2012)</w:t>
      </w:r>
      <w:r w:rsidRPr="00FF3EB3">
        <w:rPr>
          <w:rFonts w:asciiTheme="majorBidi" w:hAnsiTheme="majorBidi" w:cstheme="majorBidi"/>
        </w:rPr>
        <w:t>,</w:t>
      </w:r>
      <w:r w:rsidRPr="009E1C12">
        <w:rPr>
          <w:rFonts w:asciiTheme="majorBidi" w:hAnsiTheme="majorBidi" w:cstheme="majorBidi"/>
        </w:rPr>
        <w:t xml:space="preserve"> 21. </w:t>
      </w:r>
    </w:p>
  </w:footnote>
  <w:footnote w:id="78">
    <w:p w14:paraId="3A627490" w14:textId="08D45D24" w:rsidR="001A3CF6" w:rsidRPr="009E1C12" w:rsidRDefault="001A3CF6" w:rsidP="00920BE8">
      <w:pPr>
        <w:spacing w:after="0" w:line="240" w:lineRule="auto"/>
        <w:rPr>
          <w:rFonts w:asciiTheme="majorBidi"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A moratorium on new placements is the 4</w:t>
      </w:r>
      <w:r w:rsidRPr="009E1C12">
        <w:rPr>
          <w:rFonts w:asciiTheme="majorBidi" w:hAnsiTheme="majorBidi" w:cstheme="majorBidi"/>
          <w:sz w:val="20"/>
          <w:szCs w:val="20"/>
          <w:vertAlign w:val="superscript"/>
        </w:rPr>
        <w:t>th</w:t>
      </w:r>
      <w:r w:rsidRPr="009E1C12">
        <w:rPr>
          <w:rFonts w:asciiTheme="majorBidi" w:hAnsiTheme="majorBidi" w:cstheme="majorBidi"/>
          <w:sz w:val="20"/>
          <w:szCs w:val="20"/>
        </w:rPr>
        <w:t xml:space="preserve"> of UNICEF’s top 9 recommendations for children in the Executive Summary of the 2013 State of the World’s Children Report. Recommendation #4 is: “End the institutionalization of children with disabilities, starting with a moratorium on new admissions. This should be accompanied by the promotion of and increased support for family based care and community-based rehabilitation.” UNICEF, State of the World’s Children 2013: Executive Summary, </w:t>
      </w:r>
      <w:r w:rsidR="00D411F2">
        <w:fldChar w:fldCharType="begin"/>
      </w:r>
      <w:r w:rsidR="00D411F2">
        <w:instrText xml:space="preserve"> HYPERLINK "http://www.unicef.org/sowc2013/files/SOWC2013_Exec_Summary_ENG_Lo_Res_24_Apr_2013.pdf" \t "_blank" </w:instrText>
      </w:r>
      <w:r w:rsidR="00D411F2">
        <w:fldChar w:fldCharType="separate"/>
      </w:r>
      <w:r w:rsidRPr="009E1C12">
        <w:rPr>
          <w:rFonts w:asciiTheme="majorBidi" w:hAnsiTheme="majorBidi" w:cstheme="majorBidi"/>
          <w:color w:val="1155CC"/>
          <w:sz w:val="20"/>
          <w:szCs w:val="20"/>
          <w:u w:val="single"/>
          <w:shd w:val="clear" w:color="auto" w:fill="FFFFFF"/>
        </w:rPr>
        <w:t>http://www.unicef.org/sowc2013/files/SOWC2013_Exec_Summary_ENG_Lo_Res_24_Apr_2013.pdf</w:t>
      </w:r>
      <w:r w:rsidR="00D411F2">
        <w:rPr>
          <w:rFonts w:asciiTheme="majorBidi" w:hAnsiTheme="majorBidi" w:cstheme="majorBidi"/>
          <w:color w:val="1155CC"/>
          <w:sz w:val="20"/>
          <w:szCs w:val="20"/>
          <w:u w:val="single"/>
          <w:shd w:val="clear" w:color="auto" w:fill="FFFFFF"/>
        </w:rPr>
        <w:fldChar w:fldCharType="end"/>
      </w:r>
      <w:r w:rsidRPr="009E1C12">
        <w:rPr>
          <w:rFonts w:asciiTheme="majorBidi" w:hAnsiTheme="majorBidi" w:cstheme="majorBidi"/>
          <w:sz w:val="20"/>
          <w:szCs w:val="20"/>
        </w:rPr>
        <w:t xml:space="preserve"> (last visited Oct. 5, 2016).</w:t>
      </w:r>
    </w:p>
  </w:footnote>
  <w:footnote w:id="79">
    <w:p w14:paraId="568826CA" w14:textId="59C778EC"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9E1C12">
        <w:rPr>
          <w:rFonts w:asciiTheme="majorBidi" w:hAnsiTheme="majorBidi" w:cstheme="majorBidi"/>
        </w:rPr>
        <w:t>.</w:t>
      </w:r>
      <w:r>
        <w:rPr>
          <w:rFonts w:asciiTheme="majorBidi" w:hAnsiTheme="majorBidi" w:cstheme="majorBidi"/>
        </w:rPr>
        <w:t xml:space="preserve"> at</w:t>
      </w:r>
      <w:r w:rsidRPr="00FF3EB3">
        <w:rPr>
          <w:rFonts w:asciiTheme="majorBidi" w:hAnsiTheme="majorBidi" w:cstheme="majorBidi"/>
        </w:rPr>
        <w:t xml:space="preserve"> </w:t>
      </w:r>
      <w:r w:rsidRPr="009E1C12">
        <w:rPr>
          <w:rFonts w:asciiTheme="majorBidi" w:hAnsiTheme="majorBidi" w:cstheme="majorBidi"/>
        </w:rPr>
        <w:t>23.</w:t>
      </w:r>
    </w:p>
  </w:footnote>
  <w:footnote w:id="80">
    <w:p w14:paraId="34CEEE5C" w14:textId="3885FD31"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Csaky, </w:t>
      </w:r>
      <w:r w:rsidRPr="009E1C12">
        <w:rPr>
          <w:rFonts w:asciiTheme="majorBidi" w:hAnsiTheme="majorBidi" w:cstheme="majorBidi"/>
          <w:i/>
        </w:rPr>
        <w:t xml:space="preserve">supra </w:t>
      </w:r>
      <w:r w:rsidRPr="009E1C12">
        <w:rPr>
          <w:rFonts w:asciiTheme="majorBidi" w:hAnsiTheme="majorBidi" w:cstheme="majorBidi"/>
        </w:rPr>
        <w:t xml:space="preserve">note </w:t>
      </w:r>
      <w:r w:rsidRPr="009E1C12">
        <w:rPr>
          <w:rFonts w:asciiTheme="majorBidi" w:hAnsiTheme="majorBidi" w:cstheme="majorBidi"/>
        </w:rPr>
        <w:fldChar w:fldCharType="begin"/>
      </w:r>
      <w:r w:rsidRPr="009E1C12">
        <w:rPr>
          <w:rFonts w:asciiTheme="majorBidi" w:hAnsiTheme="majorBidi" w:cstheme="majorBidi"/>
        </w:rPr>
        <w:instrText xml:space="preserve"> NOTEREF _Ref336856428 \h </w:instrText>
      </w:r>
      <w:r w:rsidRPr="00FF3EB3">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48</w:t>
      </w:r>
      <w:r w:rsidRPr="009E1C12">
        <w:rPr>
          <w:rFonts w:asciiTheme="majorBidi" w:hAnsiTheme="majorBidi" w:cstheme="majorBidi"/>
        </w:rPr>
        <w:fldChar w:fldCharType="end"/>
      </w:r>
      <w:r w:rsidRPr="009E1C12">
        <w:rPr>
          <w:rFonts w:asciiTheme="majorBidi" w:hAnsiTheme="majorBidi" w:cstheme="majorBidi"/>
        </w:rPr>
        <w:t xml:space="preserve">, </w:t>
      </w:r>
      <w:r>
        <w:rPr>
          <w:rFonts w:asciiTheme="majorBidi" w:hAnsiTheme="majorBidi" w:cstheme="majorBidi"/>
        </w:rPr>
        <w:t xml:space="preserve">at </w:t>
      </w:r>
      <w:r w:rsidRPr="009E1C12">
        <w:rPr>
          <w:rFonts w:asciiTheme="majorBidi" w:hAnsiTheme="majorBidi" w:cstheme="majorBidi"/>
        </w:rPr>
        <w:t>2.</w:t>
      </w:r>
    </w:p>
  </w:footnote>
  <w:footnote w:id="81">
    <w:p w14:paraId="7D98D03D" w14:textId="5476DD49"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rPr>
        <w:t xml:space="preserve"> at</w:t>
      </w:r>
      <w:r w:rsidRPr="00FF3EB3">
        <w:rPr>
          <w:rFonts w:asciiTheme="majorBidi" w:hAnsiTheme="majorBidi" w:cstheme="majorBidi"/>
        </w:rPr>
        <w:t xml:space="preserve"> </w:t>
      </w:r>
      <w:r w:rsidRPr="009E1C12">
        <w:rPr>
          <w:rFonts w:asciiTheme="majorBidi" w:hAnsiTheme="majorBidi" w:cstheme="majorBidi"/>
        </w:rPr>
        <w:t>4.</w:t>
      </w:r>
    </w:p>
  </w:footnote>
  <w:footnote w:id="82">
    <w:p w14:paraId="09BFF749" w14:textId="24607694" w:rsidR="001A3CF6" w:rsidRPr="009E1C12" w:rsidRDefault="001A3CF6" w:rsidP="00F341B1">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Implementing </w:t>
      </w:r>
      <w:r w:rsidRPr="00F04707">
        <w:rPr>
          <w:rFonts w:asciiTheme="majorBidi" w:hAnsiTheme="majorBidi" w:cstheme="majorBidi"/>
        </w:rPr>
        <w:t>the Guidelines (2012)</w:t>
      </w:r>
      <w:r w:rsidRPr="00F04707">
        <w:rPr>
          <w:rFonts w:asciiTheme="majorBidi" w:hAnsiTheme="majorBidi" w:cstheme="majorBidi"/>
          <w:i/>
        </w:rPr>
        <w:t xml:space="preserve">, </w:t>
      </w:r>
      <w:r w:rsidRPr="00B57B6A">
        <w:rPr>
          <w:rFonts w:asciiTheme="majorBidi" w:hAnsiTheme="majorBidi" w:cstheme="majorBidi"/>
          <w:i/>
        </w:rPr>
        <w:t>supra</w:t>
      </w:r>
      <w:r w:rsidRPr="00B57B6A">
        <w:rPr>
          <w:rFonts w:asciiTheme="majorBidi" w:hAnsiTheme="majorBidi" w:cstheme="majorBidi"/>
        </w:rPr>
        <w:t xml:space="preserve"> note </w:t>
      </w:r>
      <w:r w:rsidRPr="00F04707">
        <w:rPr>
          <w:rFonts w:asciiTheme="majorBidi" w:hAnsiTheme="majorBidi" w:cstheme="majorBidi"/>
        </w:rPr>
        <w:t>18, at</w:t>
      </w:r>
      <w:r w:rsidRPr="009A4006">
        <w:rPr>
          <w:rFonts w:asciiTheme="majorBidi" w:hAnsiTheme="majorBidi" w:cstheme="majorBidi"/>
        </w:rPr>
        <w:t xml:space="preserve"> 43.</w:t>
      </w:r>
    </w:p>
  </w:footnote>
  <w:footnote w:id="83">
    <w:p w14:paraId="47379F51" w14:textId="52A24761" w:rsidR="001A3CF6" w:rsidRPr="00952D7A" w:rsidRDefault="001A3CF6" w:rsidP="00132BB6">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FF3EB3">
        <w:rPr>
          <w:rFonts w:asciiTheme="majorBidi" w:hAnsiTheme="majorBidi" w:cstheme="majorBidi"/>
        </w:rPr>
        <w:t xml:space="preserve">CAT, </w:t>
      </w:r>
      <w:r w:rsidRPr="00B57B6A">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_Ref471732133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11</w:t>
      </w:r>
      <w:r>
        <w:rPr>
          <w:rFonts w:asciiTheme="majorBidi" w:hAnsiTheme="majorBidi" w:cstheme="majorBidi"/>
        </w:rPr>
        <w:fldChar w:fldCharType="end"/>
      </w:r>
      <w:r w:rsidRPr="00952D7A">
        <w:rPr>
          <w:rFonts w:asciiTheme="majorBidi" w:hAnsiTheme="majorBidi" w:cstheme="majorBidi"/>
        </w:rPr>
        <w:t xml:space="preserve">. </w:t>
      </w:r>
    </w:p>
  </w:footnote>
  <w:footnote w:id="84">
    <w:p w14:paraId="3BE7BF11" w14:textId="524BC1E8" w:rsidR="001A3CF6" w:rsidRPr="009E1C12" w:rsidRDefault="001A3CF6" w:rsidP="00C34CBE">
      <w:pPr>
        <w:pStyle w:val="FootnoteText"/>
        <w:jc w:val="both"/>
        <w:rPr>
          <w:rFonts w:asciiTheme="majorBidi" w:hAnsiTheme="majorBidi" w:cstheme="majorBidi"/>
        </w:rPr>
      </w:pPr>
      <w:r w:rsidRPr="009A4006">
        <w:rPr>
          <w:rStyle w:val="FootnoteReference"/>
          <w:rFonts w:asciiTheme="majorBidi" w:hAnsiTheme="majorBidi" w:cstheme="majorBidi"/>
        </w:rPr>
        <w:footnoteRef/>
      </w:r>
      <w:r w:rsidRPr="009A4006">
        <w:rPr>
          <w:rFonts w:asciiTheme="majorBidi" w:hAnsiTheme="majorBidi" w:cstheme="majorBidi"/>
        </w:rPr>
        <w:t xml:space="preserve"> </w:t>
      </w:r>
      <w:r w:rsidRPr="00874AB5">
        <w:rPr>
          <w:rFonts w:asciiTheme="majorBidi" w:hAnsiTheme="majorBidi" w:cstheme="majorBidi"/>
          <w:i/>
        </w:rPr>
        <w:t>See</w:t>
      </w:r>
      <w:r w:rsidRPr="00952D7A">
        <w:rPr>
          <w:rFonts w:asciiTheme="majorBidi" w:hAnsiTheme="majorBidi" w:cstheme="majorBidi"/>
        </w:rPr>
        <w:t xml:space="preserve"> Eric Rosenthal et</w:t>
      </w:r>
      <w:r w:rsidRPr="00FF3EB3">
        <w:rPr>
          <w:rFonts w:asciiTheme="majorBidi" w:hAnsiTheme="majorBidi" w:cstheme="majorBidi"/>
        </w:rPr>
        <w:t xml:space="preserve"> al.</w:t>
      </w:r>
      <w:r w:rsidRPr="009E1C12">
        <w:rPr>
          <w:rFonts w:asciiTheme="majorBidi" w:hAnsiTheme="majorBidi" w:cstheme="majorBidi"/>
        </w:rPr>
        <w:t xml:space="preserve">, </w:t>
      </w:r>
      <w:r w:rsidRPr="009E1C12">
        <w:rPr>
          <w:rFonts w:asciiTheme="majorBidi" w:hAnsiTheme="majorBidi" w:cstheme="majorBidi"/>
          <w:i/>
          <w:iCs/>
        </w:rPr>
        <w:t>International Human Rights Advocacy under the ‘Principles for the Protection of Persons with Mental Illness</w:t>
      </w:r>
      <w:r w:rsidRPr="00FF3EB3">
        <w:rPr>
          <w:rFonts w:asciiTheme="majorBidi" w:hAnsiTheme="majorBidi" w:cstheme="majorBidi"/>
          <w:i/>
          <w:iCs/>
        </w:rPr>
        <w:t>,</w:t>
      </w:r>
      <w:r w:rsidRPr="009E1C12">
        <w:rPr>
          <w:rFonts w:asciiTheme="majorBidi" w:hAnsiTheme="majorBidi" w:cstheme="majorBidi"/>
        </w:rPr>
        <w:t xml:space="preserve"> </w:t>
      </w:r>
      <w:r w:rsidRPr="009E1C12">
        <w:rPr>
          <w:rFonts w:asciiTheme="majorBidi" w:hAnsiTheme="majorBidi" w:cstheme="majorBidi"/>
          <w:smallCaps/>
        </w:rPr>
        <w:t xml:space="preserve">16 </w:t>
      </w:r>
      <w:r w:rsidRPr="00FF3EB3">
        <w:rPr>
          <w:rFonts w:asciiTheme="majorBidi" w:hAnsiTheme="majorBidi" w:cstheme="majorBidi"/>
          <w:smallCaps/>
        </w:rPr>
        <w:t xml:space="preserve">(3-4) </w:t>
      </w:r>
      <w:r w:rsidRPr="009E1C12">
        <w:rPr>
          <w:rFonts w:asciiTheme="majorBidi" w:hAnsiTheme="majorBidi" w:cstheme="majorBidi"/>
          <w:smallCaps/>
        </w:rPr>
        <w:t>International Journal of Law and Psychiatry</w:t>
      </w:r>
      <w:r w:rsidRPr="009E1C12">
        <w:rPr>
          <w:rFonts w:asciiTheme="majorBidi" w:hAnsiTheme="majorBidi" w:cstheme="majorBidi"/>
        </w:rPr>
        <w:t xml:space="preserve"> 257, 273 (1993) (reviewing early protections for institutionalized children and adults with disabilities).</w:t>
      </w:r>
    </w:p>
  </w:footnote>
  <w:footnote w:id="85">
    <w:p w14:paraId="4499C472" w14:textId="71BE7EAB" w:rsidR="001A3CF6" w:rsidRPr="009E1C12" w:rsidRDefault="001A3CF6" w:rsidP="00952D7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The universal protection against torture derives from customary law and a broad array of human rights conventions, such as the International Covenant on Civil and Political Rights (ICCPR)</w:t>
      </w:r>
      <w:r w:rsidRPr="00FF3EB3">
        <w:rPr>
          <w:rFonts w:asciiTheme="majorBidi" w:hAnsiTheme="majorBidi" w:cstheme="majorBidi"/>
        </w:rPr>
        <w:t>, G.A. Res, 2200A (XXI), U.N. Doc. A/6316 (Mar. 23, 1976), Article 7</w:t>
      </w:r>
      <w:r w:rsidRPr="009E1C12">
        <w:rPr>
          <w:rFonts w:asciiTheme="majorBidi" w:hAnsiTheme="majorBidi" w:cstheme="majorBidi"/>
        </w:rPr>
        <w:t xml:space="preserve">; American Convention on Human Rights, art. 5(2), July 18, 1978, 1144 U.N.T.S. 123 [American Convention], European Convention for the Protection of Human Rights and Fundamental Freedoms [European Convention]. </w:t>
      </w:r>
    </w:p>
  </w:footnote>
  <w:footnote w:id="86">
    <w:p w14:paraId="5A121803" w14:textId="20C4A79D" w:rsidR="001A3CF6" w:rsidRPr="009E1C12" w:rsidRDefault="001A3CF6" w:rsidP="00952D7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FF3EB3">
        <w:rPr>
          <w:rFonts w:asciiTheme="majorBidi" w:hAnsiTheme="majorBidi" w:cstheme="majorBidi"/>
        </w:rPr>
        <w:t xml:space="preserve">CAT, </w:t>
      </w:r>
      <w:r w:rsidRPr="00401EFD">
        <w:rPr>
          <w:rFonts w:asciiTheme="majorBidi" w:hAnsiTheme="majorBidi" w:cstheme="majorBidi"/>
          <w:i/>
          <w:iCs/>
        </w:rPr>
        <w:t>supra</w:t>
      </w:r>
      <w:r w:rsidRPr="00401EFD">
        <w:rPr>
          <w:rFonts w:asciiTheme="majorBidi" w:hAnsiTheme="majorBidi" w:cstheme="majorBidi"/>
        </w:rPr>
        <w:t xml:space="preserve"> note 12</w:t>
      </w:r>
      <w:r w:rsidRPr="00952D7A">
        <w:rPr>
          <w:rFonts w:asciiTheme="majorBidi" w:hAnsiTheme="majorBidi" w:cstheme="majorBidi"/>
        </w:rPr>
        <w:t>.</w:t>
      </w:r>
    </w:p>
  </w:footnote>
  <w:footnote w:id="87">
    <w:p w14:paraId="033019B0" w14:textId="335EF1F3" w:rsidR="001A3CF6" w:rsidRPr="009E1C12" w:rsidRDefault="001A3CF6" w:rsidP="002E3FE5">
      <w:pPr>
        <w:spacing w:after="0"/>
        <w:rPr>
          <w:rFonts w:asciiTheme="majorBidi" w:eastAsia="Times New Roman" w:hAnsiTheme="majorBidi" w:cstheme="majorBidi"/>
          <w:sz w:val="20"/>
          <w:szCs w:val="20"/>
          <w:lang w:eastAsia="es-MX"/>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Manfred Nowak and Elizabeth McArthur, New York City: Oxford University Press, The United Nations Convention Against Torture, A Commentary</w:t>
      </w:r>
      <w:r>
        <w:rPr>
          <w:rFonts w:asciiTheme="majorBidi" w:hAnsiTheme="majorBidi" w:cstheme="majorBidi"/>
          <w:sz w:val="20"/>
          <w:szCs w:val="20"/>
        </w:rPr>
        <w:t>,</w:t>
      </w:r>
      <w:r w:rsidRPr="009E1C12">
        <w:rPr>
          <w:rFonts w:asciiTheme="majorBidi" w:hAnsiTheme="majorBidi" w:cstheme="majorBidi"/>
          <w:sz w:val="20"/>
          <w:szCs w:val="20"/>
        </w:rPr>
        <w:t xml:space="preserve"> 25 (2008).</w:t>
      </w:r>
    </w:p>
  </w:footnote>
  <w:footnote w:id="88">
    <w:p w14:paraId="67562C4F" w14:textId="2BDD836E" w:rsidR="001A3CF6" w:rsidRPr="009E1C12" w:rsidRDefault="001A3CF6" w:rsidP="00685045">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A framework for implementing that right and preventing torture established by the Convention Against Torture and Other Forms of Cruel, Inhuman or Degrading Treatment or Punishment, June 26, 1987, 1465 U.N.T.S. 85 </w:t>
      </w:r>
      <w:r w:rsidRPr="00FF3EB3">
        <w:rPr>
          <w:rFonts w:asciiTheme="majorBidi" w:hAnsiTheme="majorBidi" w:cstheme="majorBidi"/>
        </w:rPr>
        <w:t>(</w:t>
      </w:r>
      <w:r w:rsidRPr="009E1C12">
        <w:rPr>
          <w:rFonts w:asciiTheme="majorBidi" w:hAnsiTheme="majorBidi" w:cstheme="majorBidi"/>
        </w:rPr>
        <w:t xml:space="preserve">hereinafter </w:t>
      </w:r>
      <w:r w:rsidRPr="00FF3EB3">
        <w:rPr>
          <w:rFonts w:asciiTheme="majorBidi" w:hAnsiTheme="majorBidi" w:cstheme="majorBidi"/>
        </w:rPr>
        <w:t>“</w:t>
      </w:r>
      <w:r w:rsidRPr="009E1C12">
        <w:rPr>
          <w:rFonts w:asciiTheme="majorBidi" w:hAnsiTheme="majorBidi" w:cstheme="majorBidi"/>
        </w:rPr>
        <w:t>CAT</w:t>
      </w:r>
      <w:r w:rsidRPr="00FF3EB3">
        <w:rPr>
          <w:rFonts w:asciiTheme="majorBidi" w:hAnsiTheme="majorBidi" w:cstheme="majorBidi"/>
        </w:rPr>
        <w:t>”)</w:t>
      </w:r>
      <w:r w:rsidRPr="009E1C12">
        <w:rPr>
          <w:rFonts w:asciiTheme="majorBidi" w:hAnsiTheme="majorBidi" w:cstheme="majorBidi"/>
        </w:rPr>
        <w:t xml:space="preserve">; International Covenant on Civil and Political Rights, art.7, Mar. 23, 1976 S. Exec. Doc. No. E, 95-2, 999 U.N.T.S. 171 </w:t>
      </w:r>
      <w:r w:rsidRPr="00FF3EB3">
        <w:rPr>
          <w:rFonts w:asciiTheme="majorBidi" w:hAnsiTheme="majorBidi" w:cstheme="majorBidi"/>
        </w:rPr>
        <w:t>(</w:t>
      </w:r>
      <w:r w:rsidRPr="009E1C12">
        <w:rPr>
          <w:rFonts w:asciiTheme="majorBidi" w:hAnsiTheme="majorBidi" w:cstheme="majorBidi"/>
        </w:rPr>
        <w:t xml:space="preserve">hereinafter </w:t>
      </w:r>
      <w:r w:rsidRPr="00FF3EB3">
        <w:rPr>
          <w:rFonts w:asciiTheme="majorBidi" w:hAnsiTheme="majorBidi" w:cstheme="majorBidi"/>
        </w:rPr>
        <w:t>“</w:t>
      </w:r>
      <w:r w:rsidRPr="009E1C12">
        <w:rPr>
          <w:rFonts w:asciiTheme="majorBidi" w:hAnsiTheme="majorBidi" w:cstheme="majorBidi"/>
        </w:rPr>
        <w:t>ICCPR</w:t>
      </w:r>
      <w:r w:rsidRPr="00FF3EB3">
        <w:rPr>
          <w:rFonts w:asciiTheme="majorBidi" w:hAnsiTheme="majorBidi" w:cstheme="majorBidi"/>
        </w:rPr>
        <w:t>”)</w:t>
      </w:r>
      <w:r w:rsidRPr="009E1C12">
        <w:rPr>
          <w:rFonts w:asciiTheme="majorBidi" w:hAnsiTheme="majorBidi" w:cstheme="majorBidi"/>
        </w:rPr>
        <w:t xml:space="preserve">; </w:t>
      </w:r>
      <w:r w:rsidRPr="00FF3EB3">
        <w:rPr>
          <w:rFonts w:asciiTheme="majorBidi" w:hAnsiTheme="majorBidi" w:cstheme="majorBidi"/>
        </w:rPr>
        <w:t xml:space="preserve">Organization of American States, </w:t>
      </w:r>
      <w:r w:rsidRPr="009E1C12">
        <w:rPr>
          <w:rFonts w:asciiTheme="majorBidi" w:hAnsiTheme="majorBidi" w:cstheme="majorBidi"/>
        </w:rPr>
        <w:t xml:space="preserve">American Convention on Human Rights, </w:t>
      </w:r>
      <w:r w:rsidRPr="00FF3EB3">
        <w:rPr>
          <w:rFonts w:asciiTheme="majorBidi" w:hAnsiTheme="majorBidi" w:cstheme="majorBidi"/>
        </w:rPr>
        <w:t>“Pact of San Jose”, Costa Rica, 22 November 1969, A</w:t>
      </w:r>
      <w:r w:rsidRPr="009E1C12">
        <w:rPr>
          <w:rFonts w:asciiTheme="majorBidi" w:hAnsiTheme="majorBidi" w:cstheme="majorBidi"/>
        </w:rPr>
        <w:t xml:space="preserve">rt. 5(2) </w:t>
      </w:r>
      <w:r w:rsidRPr="00FF3EB3">
        <w:rPr>
          <w:rFonts w:asciiTheme="majorBidi" w:hAnsiTheme="majorBidi" w:cstheme="majorBidi"/>
        </w:rPr>
        <w:t>(hereinafter, the “</w:t>
      </w:r>
      <w:r w:rsidRPr="009E1C12">
        <w:rPr>
          <w:rFonts w:asciiTheme="majorBidi" w:hAnsiTheme="majorBidi" w:cstheme="majorBidi"/>
        </w:rPr>
        <w:t>American Convention</w:t>
      </w:r>
      <w:r w:rsidRPr="00FF3EB3">
        <w:rPr>
          <w:rFonts w:asciiTheme="majorBidi" w:hAnsiTheme="majorBidi" w:cstheme="majorBidi"/>
        </w:rPr>
        <w:t>”); the Council of Europe,</w:t>
      </w:r>
      <w:r w:rsidRPr="009E1C12">
        <w:rPr>
          <w:rFonts w:asciiTheme="majorBidi" w:hAnsiTheme="majorBidi" w:cstheme="majorBidi"/>
        </w:rPr>
        <w:t xml:space="preserve"> European Convention for the Protection of Human Rights and Fundamental Freedoms</w:t>
      </w:r>
      <w:r w:rsidRPr="00FF3EB3">
        <w:rPr>
          <w:rFonts w:asciiTheme="majorBidi" w:hAnsiTheme="majorBidi" w:cstheme="majorBidi"/>
        </w:rPr>
        <w:t>, as amended by Protocols Nos 11 and 14, 4 November 1950, ETS 5, Article 3</w:t>
      </w:r>
      <w:r w:rsidRPr="009E1C12">
        <w:rPr>
          <w:rFonts w:asciiTheme="majorBidi" w:hAnsiTheme="majorBidi" w:cstheme="majorBidi"/>
        </w:rPr>
        <w:t xml:space="preserve"> </w:t>
      </w:r>
      <w:r w:rsidRPr="00FF3EB3">
        <w:rPr>
          <w:rFonts w:asciiTheme="majorBidi" w:hAnsiTheme="majorBidi" w:cstheme="majorBidi"/>
        </w:rPr>
        <w:t>(the “</w:t>
      </w:r>
      <w:r w:rsidRPr="009E1C12">
        <w:rPr>
          <w:rFonts w:asciiTheme="majorBidi" w:hAnsiTheme="majorBidi" w:cstheme="majorBidi"/>
        </w:rPr>
        <w:t>European Convention</w:t>
      </w:r>
      <w:r w:rsidRPr="00FF3EB3">
        <w:rPr>
          <w:rFonts w:asciiTheme="majorBidi" w:hAnsiTheme="majorBidi" w:cstheme="majorBidi"/>
        </w:rPr>
        <w:t>”)</w:t>
      </w:r>
      <w:r w:rsidRPr="009E1C12">
        <w:rPr>
          <w:rFonts w:asciiTheme="majorBidi" w:hAnsiTheme="majorBidi" w:cstheme="majorBidi"/>
        </w:rPr>
        <w:t xml:space="preserve">. </w:t>
      </w:r>
    </w:p>
  </w:footnote>
  <w:footnote w:id="89">
    <w:p w14:paraId="6FEEB574" w14:textId="333ED5D0" w:rsidR="001A3CF6" w:rsidRPr="009E1C12"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FF3EB3">
        <w:rPr>
          <w:rFonts w:asciiTheme="majorBidi" w:hAnsiTheme="majorBidi" w:cstheme="majorBidi"/>
        </w:rPr>
        <w:t>General Comment No.</w:t>
      </w:r>
      <w:r w:rsidRPr="004368FF">
        <w:rPr>
          <w:rFonts w:asciiTheme="majorBidi" w:hAnsiTheme="majorBidi" w:cstheme="majorBidi"/>
        </w:rPr>
        <w:t xml:space="preserve">2, </w:t>
      </w:r>
      <w:r w:rsidRPr="00B57B6A">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_Ref471732276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34</w:t>
      </w:r>
      <w:r>
        <w:rPr>
          <w:rFonts w:asciiTheme="majorBidi" w:hAnsiTheme="majorBidi" w:cstheme="majorBidi"/>
        </w:rPr>
        <w:fldChar w:fldCharType="end"/>
      </w:r>
      <w:r w:rsidRPr="009E1C12">
        <w:rPr>
          <w:rFonts w:asciiTheme="majorBidi" w:hAnsiTheme="majorBidi" w:cstheme="majorBidi"/>
        </w:rPr>
        <w:t>.</w:t>
      </w:r>
    </w:p>
  </w:footnote>
  <w:footnote w:id="90">
    <w:p w14:paraId="33B4236B" w14:textId="62F797C9" w:rsidR="001A3CF6" w:rsidRPr="009E1C12"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9E1C12">
        <w:rPr>
          <w:rFonts w:asciiTheme="majorBidi" w:hAnsiTheme="majorBidi" w:cstheme="majorBidi"/>
        </w:rPr>
        <w:t xml:space="preserve">. </w:t>
      </w:r>
      <w:r>
        <w:rPr>
          <w:rFonts w:asciiTheme="majorBidi" w:hAnsiTheme="majorBidi" w:cstheme="majorBidi"/>
        </w:rPr>
        <w:t xml:space="preserve">at </w:t>
      </w:r>
      <w:r w:rsidRPr="009E1C12">
        <w:rPr>
          <w:rFonts w:asciiTheme="majorBidi" w:hAnsiTheme="majorBidi" w:cstheme="majorBidi"/>
        </w:rPr>
        <w:t>para</w:t>
      </w:r>
      <w:r w:rsidRPr="00FF3EB3">
        <w:rPr>
          <w:rFonts w:asciiTheme="majorBidi" w:hAnsiTheme="majorBidi" w:cstheme="majorBidi"/>
        </w:rPr>
        <w:t>.</w:t>
      </w:r>
      <w:r w:rsidRPr="009E1C12">
        <w:rPr>
          <w:rFonts w:asciiTheme="majorBidi" w:hAnsiTheme="majorBidi" w:cstheme="majorBidi"/>
        </w:rPr>
        <w:t xml:space="preserve"> </w:t>
      </w:r>
      <w:r w:rsidRPr="009E1C12">
        <w:rPr>
          <w:rFonts w:asciiTheme="majorBidi" w:hAnsiTheme="majorBidi" w:cstheme="majorBidi"/>
          <w:color w:val="000000"/>
        </w:rPr>
        <w:t>15.</w:t>
      </w:r>
    </w:p>
  </w:footnote>
  <w:footnote w:id="91">
    <w:p w14:paraId="20BF9883" w14:textId="77777777" w:rsidR="001A3CF6" w:rsidRPr="009E1C12"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Felice D. Gaer, </w:t>
      </w:r>
      <w:r w:rsidRPr="009E1C12">
        <w:rPr>
          <w:rFonts w:asciiTheme="majorBidi" w:hAnsiTheme="majorBidi" w:cstheme="majorBidi"/>
          <w:i/>
          <w:iCs/>
        </w:rPr>
        <w:t>Opening Remarks: General Comment No. 2</w:t>
      </w:r>
      <w:r w:rsidRPr="009E1C12">
        <w:rPr>
          <w:rFonts w:asciiTheme="majorBidi" w:hAnsiTheme="majorBidi" w:cstheme="majorBidi"/>
        </w:rPr>
        <w:t>, 11 New York City Law Review 187, 197(2008).</w:t>
      </w:r>
    </w:p>
  </w:footnote>
  <w:footnote w:id="92">
    <w:p w14:paraId="714AAEDB" w14:textId="10A3693E" w:rsidR="001A3CF6" w:rsidRPr="009E1C12" w:rsidRDefault="001A3CF6" w:rsidP="00952D7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FF3EB3">
        <w:rPr>
          <w:rFonts w:asciiTheme="majorBidi" w:hAnsiTheme="majorBidi" w:cstheme="majorBidi"/>
        </w:rPr>
        <w:t xml:space="preserve">UN Human Rights Council, </w:t>
      </w:r>
      <w:r w:rsidRPr="009E1C12">
        <w:rPr>
          <w:rFonts w:asciiTheme="majorBidi" w:hAnsiTheme="majorBidi" w:cstheme="majorBidi"/>
          <w:i/>
          <w:iCs/>
        </w:rPr>
        <w:t>Report of the Special Rapporteur on torture and other cruel, inhuman or degrading treatment or punishment</w:t>
      </w:r>
      <w:r>
        <w:rPr>
          <w:rFonts w:asciiTheme="majorBidi" w:hAnsiTheme="majorBidi" w:cstheme="majorBidi"/>
          <w:i/>
          <w:iCs/>
        </w:rPr>
        <w:t xml:space="preserve"> </w:t>
      </w:r>
      <w:r w:rsidRPr="00B57B6A">
        <w:rPr>
          <w:rFonts w:asciiTheme="majorBidi" w:hAnsiTheme="majorBidi" w:cstheme="majorBidi"/>
          <w:iCs/>
        </w:rPr>
        <w:t xml:space="preserve">Juan E. </w:t>
      </w:r>
      <w:r w:rsidRPr="00D853A7">
        <w:rPr>
          <w:rFonts w:ascii="Times New Roman" w:hAnsi="Times New Roman" w:cs="Times New Roman"/>
        </w:rPr>
        <w:t>Méndez,</w:t>
      </w:r>
      <w:r w:rsidRPr="009E1C12">
        <w:rPr>
          <w:rFonts w:asciiTheme="majorBidi" w:hAnsiTheme="majorBidi" w:cstheme="majorBidi"/>
        </w:rPr>
        <w:t xml:space="preserve"> UN</w:t>
      </w:r>
      <w:r w:rsidRPr="00FF3EB3">
        <w:rPr>
          <w:rFonts w:asciiTheme="majorBidi" w:hAnsiTheme="majorBidi" w:cstheme="majorBidi"/>
        </w:rPr>
        <w:t xml:space="preserve"> Doc.</w:t>
      </w:r>
      <w:r w:rsidRPr="009E1C12">
        <w:rPr>
          <w:rFonts w:asciiTheme="majorBidi" w:hAnsiTheme="majorBidi" w:cstheme="majorBidi"/>
        </w:rPr>
        <w:t xml:space="preserve"> A/HRC/22/53 (Feb. 1, 2013), para. 68 </w:t>
      </w:r>
      <w:r w:rsidRPr="00FF3EB3">
        <w:rPr>
          <w:rFonts w:asciiTheme="majorBidi" w:hAnsiTheme="majorBidi" w:cstheme="majorBidi"/>
        </w:rPr>
        <w:t>(</w:t>
      </w:r>
      <w:r w:rsidRPr="009E1C12">
        <w:rPr>
          <w:rFonts w:asciiTheme="majorBidi" w:hAnsiTheme="majorBidi" w:cstheme="majorBidi"/>
        </w:rPr>
        <w:t xml:space="preserve">Hereinafter </w:t>
      </w:r>
      <w:r w:rsidRPr="00FF3EB3">
        <w:rPr>
          <w:rFonts w:asciiTheme="majorBidi" w:hAnsiTheme="majorBidi" w:cstheme="majorBidi"/>
        </w:rPr>
        <w:t>“</w:t>
      </w:r>
      <w:r w:rsidRPr="009E1C12">
        <w:rPr>
          <w:rFonts w:asciiTheme="majorBidi" w:hAnsiTheme="majorBidi" w:cstheme="majorBidi"/>
        </w:rPr>
        <w:t>Torture in Healthcare Report</w:t>
      </w:r>
      <w:r w:rsidRPr="00FF3EB3">
        <w:rPr>
          <w:rFonts w:asciiTheme="majorBidi" w:hAnsiTheme="majorBidi" w:cstheme="majorBidi"/>
        </w:rPr>
        <w:t>”).</w:t>
      </w:r>
      <w:r w:rsidRPr="009E1C12">
        <w:rPr>
          <w:rFonts w:asciiTheme="majorBidi" w:hAnsiTheme="majorBidi" w:cstheme="majorBidi"/>
        </w:rPr>
        <w:t xml:space="preserve">  </w:t>
      </w:r>
      <w:r w:rsidRPr="009E1C12">
        <w:rPr>
          <w:rFonts w:asciiTheme="majorBidi" w:hAnsiTheme="majorBidi" w:cstheme="majorBidi"/>
          <w:i/>
        </w:rPr>
        <w:t>See also</w:t>
      </w:r>
      <w:r w:rsidRPr="009E1C12">
        <w:rPr>
          <w:rFonts w:asciiTheme="majorBidi" w:hAnsiTheme="majorBidi" w:cstheme="majorBidi"/>
        </w:rPr>
        <w:t xml:space="preserve">, </w:t>
      </w:r>
      <w:r w:rsidRPr="00B57B6A">
        <w:rPr>
          <w:rFonts w:asciiTheme="majorBidi" w:hAnsiTheme="majorBidi" w:cstheme="majorBidi"/>
        </w:rPr>
        <w:t>Torture in Healthcare Settings: Reflections on the Special Rapporteur on Torture’s 2013 Thematic Report, Center for Human Rights and Humanitarian Law, Washington College of Law, American University (2013), which reproduces the Special Rapporteur’s report</w:t>
      </w:r>
      <w:r>
        <w:rPr>
          <w:rFonts w:asciiTheme="majorBidi" w:hAnsiTheme="majorBidi" w:cstheme="majorBidi"/>
        </w:rPr>
        <w:t xml:space="preserve"> [hereinafter “Torture in Healthcare Settings (2013)”]..</w:t>
      </w:r>
    </w:p>
  </w:footnote>
  <w:footnote w:id="93">
    <w:p w14:paraId="5922FC85" w14:textId="68C092EE" w:rsidR="001A3CF6" w:rsidRPr="009E1C12" w:rsidRDefault="001A3CF6" w:rsidP="002E3FE5">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i/>
        </w:rPr>
        <w:t xml:space="preserve">. </w:t>
      </w:r>
      <w:r>
        <w:rPr>
          <w:rFonts w:asciiTheme="majorBidi" w:hAnsiTheme="majorBidi" w:cstheme="majorBidi"/>
        </w:rPr>
        <w:t xml:space="preserve">at </w:t>
      </w:r>
      <w:r w:rsidRPr="009E1C12">
        <w:rPr>
          <w:rFonts w:asciiTheme="majorBidi" w:hAnsiTheme="majorBidi" w:cstheme="majorBidi"/>
        </w:rPr>
        <w:t xml:space="preserve">para. 69. </w:t>
      </w:r>
    </w:p>
  </w:footnote>
  <w:footnote w:id="94">
    <w:p w14:paraId="2E3E68FD" w14:textId="77777777" w:rsidR="001A3CF6" w:rsidRPr="009E1C12" w:rsidRDefault="001A3CF6" w:rsidP="002E3FE5">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Id. </w:t>
      </w:r>
    </w:p>
  </w:footnote>
  <w:footnote w:id="95">
    <w:p w14:paraId="1215BC87" w14:textId="14F887CC" w:rsidR="001A3CF6" w:rsidRPr="009E1C12" w:rsidRDefault="001A3CF6" w:rsidP="000378C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See</w:t>
      </w:r>
      <w:r w:rsidRPr="009E1C12">
        <w:rPr>
          <w:rFonts w:asciiTheme="majorBidi" w:hAnsiTheme="majorBidi" w:cstheme="majorBidi"/>
        </w:rPr>
        <w:t xml:space="preserve"> Peter Bartlett, Oliver Lewis, and Oliver Thorold, </w:t>
      </w:r>
      <w:r w:rsidRPr="009E1C12">
        <w:rPr>
          <w:rFonts w:asciiTheme="majorBidi" w:hAnsiTheme="majorBidi" w:cstheme="majorBidi"/>
          <w:i/>
          <w:iCs/>
        </w:rPr>
        <w:t>Insite Institutions: Institutional Standards and Institutional Controls</w:t>
      </w:r>
      <w:r w:rsidRPr="009E1C12">
        <w:rPr>
          <w:rFonts w:asciiTheme="majorBidi" w:hAnsiTheme="majorBidi" w:cstheme="majorBidi"/>
        </w:rPr>
        <w:t xml:space="preserve">, in </w:t>
      </w:r>
      <w:r w:rsidRPr="009E1C12">
        <w:rPr>
          <w:rFonts w:asciiTheme="majorBidi" w:hAnsiTheme="majorBidi" w:cstheme="majorBidi"/>
          <w:smallCaps/>
        </w:rPr>
        <w:t xml:space="preserve">Mental Disability and the European Convention on Human Rights (2007) </w:t>
      </w:r>
      <w:r w:rsidRPr="00FF3EB3">
        <w:rPr>
          <w:rFonts w:asciiTheme="majorBidi" w:hAnsiTheme="majorBidi" w:cstheme="majorBidi"/>
        </w:rPr>
        <w:t>75-109</w:t>
      </w:r>
      <w:r w:rsidRPr="00FF3EB3">
        <w:rPr>
          <w:rFonts w:asciiTheme="majorBidi" w:hAnsiTheme="majorBidi" w:cstheme="majorBidi"/>
          <w:smallCaps/>
        </w:rPr>
        <w:t xml:space="preserve"> </w:t>
      </w:r>
      <w:r w:rsidRPr="009E1C12">
        <w:rPr>
          <w:rFonts w:asciiTheme="majorBidi" w:hAnsiTheme="majorBidi" w:cstheme="majorBidi"/>
          <w:smallCaps/>
        </w:rPr>
        <w:t>(</w:t>
      </w:r>
      <w:r w:rsidRPr="009E1C12">
        <w:rPr>
          <w:rFonts w:asciiTheme="majorBidi" w:hAnsiTheme="majorBidi" w:cstheme="majorBidi"/>
        </w:rPr>
        <w:t>reviewing European case law in this area).</w:t>
      </w:r>
    </w:p>
  </w:footnote>
  <w:footnote w:id="96">
    <w:p w14:paraId="17BB6C38" w14:textId="77CEC3C7" w:rsidR="001A3CF6" w:rsidRPr="009E1C12" w:rsidRDefault="001A3CF6" w:rsidP="00FC0BC2">
      <w:pPr>
        <w:pStyle w:val="FootnoteText"/>
        <w:rPr>
          <w:rFonts w:asciiTheme="majorBidi" w:hAnsiTheme="majorBidi" w:cstheme="majorBidi"/>
          <w:b/>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Cs/>
        </w:rPr>
        <w:t>Stanev v. Bulgaria,</w:t>
      </w:r>
      <w:r w:rsidRPr="00FF3EB3">
        <w:rPr>
          <w:rFonts w:asciiTheme="majorBidi" w:hAnsiTheme="majorBidi" w:cstheme="majorBidi"/>
          <w:i/>
        </w:rPr>
        <w:t xml:space="preserve"> supra</w:t>
      </w:r>
      <w:r w:rsidRPr="009E1C12">
        <w:rPr>
          <w:rFonts w:asciiTheme="majorBidi" w:hAnsiTheme="majorBidi" w:cstheme="majorBidi"/>
          <w:iCs/>
        </w:rPr>
        <w:t xml:space="preserve"> note</w:t>
      </w:r>
      <w:r w:rsidRPr="00FF3EB3">
        <w:rPr>
          <w:rFonts w:asciiTheme="majorBidi" w:hAnsiTheme="majorBidi" w:cstheme="majorBidi"/>
          <w:i/>
        </w:rPr>
        <w:t xml:space="preserve"> </w:t>
      </w:r>
      <w:r>
        <w:rPr>
          <w:rFonts w:asciiTheme="majorBidi" w:hAnsiTheme="majorBidi" w:cstheme="majorBidi"/>
          <w:i/>
        </w:rPr>
        <w:fldChar w:fldCharType="begin"/>
      </w:r>
      <w:r>
        <w:rPr>
          <w:rFonts w:asciiTheme="majorBidi" w:hAnsiTheme="majorBidi" w:cstheme="majorBidi"/>
          <w:i/>
        </w:rPr>
        <w:instrText xml:space="preserve"> NOTEREF _Ref471314804 \h </w:instrText>
      </w:r>
      <w:r>
        <w:rPr>
          <w:rFonts w:asciiTheme="majorBidi" w:hAnsiTheme="majorBidi" w:cstheme="majorBidi"/>
          <w:i/>
        </w:rPr>
      </w:r>
      <w:r>
        <w:rPr>
          <w:rFonts w:asciiTheme="majorBidi" w:hAnsiTheme="majorBidi" w:cstheme="majorBidi"/>
          <w:i/>
        </w:rPr>
        <w:fldChar w:fldCharType="separate"/>
      </w:r>
      <w:r>
        <w:rPr>
          <w:rFonts w:asciiTheme="majorBidi" w:hAnsiTheme="majorBidi" w:cstheme="majorBidi"/>
          <w:i/>
        </w:rPr>
        <w:t>33</w:t>
      </w:r>
      <w:r>
        <w:rPr>
          <w:rFonts w:asciiTheme="majorBidi" w:hAnsiTheme="majorBidi" w:cstheme="majorBidi"/>
          <w:i/>
        </w:rPr>
        <w:fldChar w:fldCharType="end"/>
      </w:r>
      <w:r>
        <w:rPr>
          <w:rFonts w:asciiTheme="majorBidi" w:hAnsiTheme="majorBidi" w:cstheme="majorBidi"/>
          <w:i/>
        </w:rPr>
        <w:t>,</w:t>
      </w:r>
      <w:r w:rsidRPr="005B1E95">
        <w:rPr>
          <w:rFonts w:asciiTheme="majorBidi" w:hAnsiTheme="majorBidi" w:cstheme="majorBidi"/>
          <w:iCs/>
        </w:rPr>
        <w:t xml:space="preserve"> </w:t>
      </w:r>
      <w:r w:rsidRPr="00FF3EB3">
        <w:rPr>
          <w:rFonts w:asciiTheme="majorBidi" w:hAnsiTheme="majorBidi" w:cstheme="majorBidi"/>
          <w:iCs/>
        </w:rPr>
        <w:t>para</w:t>
      </w:r>
      <w:r>
        <w:rPr>
          <w:rFonts w:asciiTheme="majorBidi" w:hAnsiTheme="majorBidi" w:cstheme="majorBidi"/>
          <w:iCs/>
        </w:rPr>
        <w:t>.</w:t>
      </w:r>
      <w:r w:rsidRPr="00FF3EB3">
        <w:rPr>
          <w:rFonts w:asciiTheme="majorBidi" w:hAnsiTheme="majorBidi" w:cstheme="majorBidi"/>
          <w:iCs/>
        </w:rPr>
        <w:t xml:space="preserve"> 204</w:t>
      </w:r>
      <w:r w:rsidRPr="009E1C12">
        <w:rPr>
          <w:rFonts w:asciiTheme="majorBidi" w:hAnsiTheme="majorBidi" w:cstheme="majorBidi"/>
        </w:rPr>
        <w:t>.</w:t>
      </w:r>
    </w:p>
  </w:footnote>
  <w:footnote w:id="97">
    <w:p w14:paraId="06510B06" w14:textId="29EE0AA7"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Id. </w:t>
      </w:r>
      <w:r>
        <w:rPr>
          <w:rFonts w:asciiTheme="majorBidi" w:hAnsiTheme="majorBidi" w:cstheme="majorBidi"/>
        </w:rPr>
        <w:t xml:space="preserve">at </w:t>
      </w:r>
      <w:r w:rsidRPr="009E1C12">
        <w:rPr>
          <w:rFonts w:asciiTheme="majorBidi" w:hAnsiTheme="majorBidi" w:cstheme="majorBidi"/>
        </w:rPr>
        <w:t xml:space="preserve">paras.74-79.  </w:t>
      </w:r>
      <w:r w:rsidRPr="009E1C12">
        <w:rPr>
          <w:rFonts w:asciiTheme="majorBidi" w:hAnsiTheme="majorBidi" w:cstheme="majorBidi"/>
          <w:i/>
        </w:rPr>
        <w:t>See</w:t>
      </w:r>
      <w:r w:rsidRPr="009E1C12">
        <w:rPr>
          <w:rFonts w:asciiTheme="majorBidi" w:hAnsiTheme="majorBidi" w:cstheme="majorBidi"/>
        </w:rPr>
        <w:t xml:space="preserve"> Oliver Lewis, </w:t>
      </w:r>
      <w:r w:rsidRPr="009E1C12">
        <w:rPr>
          <w:rFonts w:asciiTheme="majorBidi" w:hAnsiTheme="majorBidi" w:cstheme="majorBidi"/>
          <w:i/>
          <w:iCs/>
        </w:rPr>
        <w:t>Stanev v. Bulgaria: On the Pathway to Freedom</w:t>
      </w:r>
      <w:r w:rsidRPr="009E1C12">
        <w:rPr>
          <w:rFonts w:asciiTheme="majorBidi" w:hAnsiTheme="majorBidi" w:cstheme="majorBidi"/>
        </w:rPr>
        <w:t xml:space="preserve">, 19 </w:t>
      </w:r>
      <w:r w:rsidRPr="009E1C12">
        <w:rPr>
          <w:rFonts w:asciiTheme="majorBidi" w:hAnsiTheme="majorBidi" w:cstheme="majorBidi"/>
          <w:smallCaps/>
        </w:rPr>
        <w:t>Human Rights Brief</w:t>
      </w:r>
      <w:r w:rsidRPr="009E1C12">
        <w:rPr>
          <w:rFonts w:asciiTheme="majorBidi" w:hAnsiTheme="majorBidi" w:cstheme="majorBidi"/>
        </w:rPr>
        <w:t xml:space="preserve"> 2-7 (2012) (analyzing the findings and significance of the European Court’s decision in the case).</w:t>
      </w:r>
    </w:p>
  </w:footnote>
  <w:footnote w:id="98">
    <w:p w14:paraId="28021EE2" w14:textId="6A888CAE"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9E1C12">
        <w:rPr>
          <w:rFonts w:asciiTheme="majorBidi" w:hAnsiTheme="majorBidi" w:cstheme="majorBidi"/>
        </w:rPr>
        <w:t xml:space="preserve"> </w:t>
      </w:r>
      <w:r>
        <w:rPr>
          <w:rFonts w:asciiTheme="majorBidi" w:hAnsiTheme="majorBidi" w:cstheme="majorBidi"/>
        </w:rPr>
        <w:t xml:space="preserve">at </w:t>
      </w:r>
      <w:r w:rsidRPr="009E1C12">
        <w:rPr>
          <w:rFonts w:asciiTheme="majorBidi" w:hAnsiTheme="majorBidi" w:cstheme="majorBidi"/>
        </w:rPr>
        <w:t>para. 23.</w:t>
      </w:r>
    </w:p>
  </w:footnote>
  <w:footnote w:id="99">
    <w:p w14:paraId="1F8B22D2" w14:textId="1389D378"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9E1C12">
        <w:rPr>
          <w:rFonts w:asciiTheme="majorBidi" w:hAnsiTheme="majorBidi" w:cstheme="majorBidi"/>
        </w:rPr>
        <w:t xml:space="preserve"> </w:t>
      </w:r>
      <w:r>
        <w:rPr>
          <w:rFonts w:asciiTheme="majorBidi" w:hAnsiTheme="majorBidi" w:cstheme="majorBidi"/>
        </w:rPr>
        <w:t xml:space="preserve">at </w:t>
      </w:r>
      <w:r w:rsidRPr="009E1C12">
        <w:rPr>
          <w:rFonts w:asciiTheme="majorBidi" w:hAnsiTheme="majorBidi" w:cstheme="majorBidi"/>
        </w:rPr>
        <w:t xml:space="preserve">para. 21. </w:t>
      </w:r>
    </w:p>
  </w:footnote>
  <w:footnote w:id="100">
    <w:p w14:paraId="2DD5AFCC" w14:textId="595F73E6" w:rsidR="001A3CF6" w:rsidRPr="009E1C12" w:rsidRDefault="001A3CF6" w:rsidP="0089436C">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Karen Allen, </w:t>
      </w:r>
      <w:r w:rsidRPr="009E1C12">
        <w:rPr>
          <w:rFonts w:asciiTheme="majorBidi" w:hAnsiTheme="majorBidi" w:cstheme="majorBidi"/>
          <w:i/>
        </w:rPr>
        <w:t xml:space="preserve">Mental health travesty in Bulgaria, </w:t>
      </w:r>
      <w:r w:rsidRPr="009E1C12">
        <w:rPr>
          <w:rFonts w:asciiTheme="majorBidi" w:hAnsiTheme="majorBidi" w:cstheme="majorBidi"/>
          <w:smallCaps/>
        </w:rPr>
        <w:t>BBC News</w:t>
      </w:r>
      <w:r w:rsidRPr="009E1C12">
        <w:rPr>
          <w:rFonts w:asciiTheme="majorBidi" w:hAnsiTheme="majorBidi" w:cstheme="majorBidi"/>
        </w:rPr>
        <w:t xml:space="preserve">, December 16, 2002, </w:t>
      </w:r>
      <w:hyperlink r:id="rId13" w:history="1">
        <w:r w:rsidRPr="009E1C12">
          <w:rPr>
            <w:rStyle w:val="Hyperlink"/>
            <w:rFonts w:asciiTheme="majorBidi" w:hAnsiTheme="majorBidi" w:cstheme="majorBidi"/>
          </w:rPr>
          <w:t>http://news.bbc.co.uk/2/hi/health/2579865.stm</w:t>
        </w:r>
      </w:hyperlink>
      <w:r w:rsidRPr="009E1C12">
        <w:rPr>
          <w:rFonts w:asciiTheme="majorBidi" w:hAnsiTheme="majorBidi" w:cstheme="majorBidi"/>
        </w:rPr>
        <w:t xml:space="preserve"> (last visited Nov</w:t>
      </w:r>
      <w:r w:rsidRPr="00FF3EB3">
        <w:rPr>
          <w:rFonts w:asciiTheme="majorBidi" w:hAnsiTheme="majorBidi" w:cstheme="majorBidi"/>
        </w:rPr>
        <w:t xml:space="preserve">. </w:t>
      </w:r>
      <w:r w:rsidRPr="009E1C12">
        <w:rPr>
          <w:rFonts w:asciiTheme="majorBidi" w:hAnsiTheme="majorBidi" w:cstheme="majorBidi"/>
        </w:rPr>
        <w:t>11, 2016).</w:t>
      </w:r>
    </w:p>
  </w:footnote>
  <w:footnote w:id="101">
    <w:p w14:paraId="524BE885" w14:textId="02670FCF" w:rsidR="001A3CF6" w:rsidRPr="009E1C12" w:rsidRDefault="001A3CF6" w:rsidP="002E7735">
      <w:pPr>
        <w:pStyle w:val="FootnoteText"/>
        <w:rPr>
          <w:rFonts w:asciiTheme="majorBidi" w:hAnsiTheme="majorBidi" w:cstheme="majorBidi"/>
        </w:rPr>
      </w:pPr>
      <w:r w:rsidRPr="009E1C12">
        <w:rPr>
          <w:rStyle w:val="FootnoteReference"/>
          <w:rFonts w:asciiTheme="majorBidi" w:hAnsiTheme="majorBidi" w:cstheme="majorBidi"/>
        </w:rPr>
        <w:footnoteRef/>
      </w:r>
      <w:r>
        <w:rPr>
          <w:rFonts w:asciiTheme="majorBidi" w:hAnsiTheme="majorBidi" w:cstheme="majorBidi"/>
          <w:iCs/>
        </w:rPr>
        <w:t xml:space="preserve"> </w:t>
      </w:r>
      <w:r w:rsidRPr="009E1C12">
        <w:rPr>
          <w:rFonts w:asciiTheme="majorBidi" w:hAnsiTheme="majorBidi" w:cstheme="majorBidi"/>
          <w:iCs/>
        </w:rPr>
        <w:t>Stanev v. Bulgaria,</w:t>
      </w:r>
      <w:r w:rsidRPr="00FF3EB3">
        <w:rPr>
          <w:rFonts w:asciiTheme="majorBidi" w:hAnsiTheme="majorBidi" w:cstheme="majorBidi"/>
          <w:i/>
        </w:rPr>
        <w:t xml:space="preserve"> supra</w:t>
      </w:r>
      <w:r w:rsidRPr="009E1C12">
        <w:rPr>
          <w:rFonts w:asciiTheme="majorBidi" w:hAnsiTheme="majorBidi" w:cstheme="majorBidi"/>
          <w:iCs/>
        </w:rPr>
        <w:t xml:space="preserve"> note</w:t>
      </w:r>
      <w:r w:rsidRPr="00FF3EB3">
        <w:rPr>
          <w:rFonts w:asciiTheme="majorBidi" w:hAnsiTheme="majorBidi" w:cstheme="majorBidi"/>
          <w:i/>
        </w:rPr>
        <w:t xml:space="preserve"> </w:t>
      </w:r>
      <w:r>
        <w:rPr>
          <w:rFonts w:asciiTheme="majorBidi" w:hAnsiTheme="majorBidi" w:cstheme="majorBidi"/>
          <w:i/>
        </w:rPr>
        <w:fldChar w:fldCharType="begin"/>
      </w:r>
      <w:r>
        <w:rPr>
          <w:rFonts w:asciiTheme="majorBidi" w:hAnsiTheme="majorBidi" w:cstheme="majorBidi"/>
          <w:i/>
        </w:rPr>
        <w:instrText xml:space="preserve"> NOTEREF _Ref471314804 \h </w:instrText>
      </w:r>
      <w:r>
        <w:rPr>
          <w:rFonts w:asciiTheme="majorBidi" w:hAnsiTheme="majorBidi" w:cstheme="majorBidi"/>
          <w:i/>
        </w:rPr>
      </w:r>
      <w:r>
        <w:rPr>
          <w:rFonts w:asciiTheme="majorBidi" w:hAnsiTheme="majorBidi" w:cstheme="majorBidi"/>
          <w:i/>
        </w:rPr>
        <w:fldChar w:fldCharType="separate"/>
      </w:r>
      <w:r>
        <w:rPr>
          <w:rFonts w:asciiTheme="majorBidi" w:hAnsiTheme="majorBidi" w:cstheme="majorBidi"/>
          <w:i/>
        </w:rPr>
        <w:t>33</w:t>
      </w:r>
      <w:r>
        <w:rPr>
          <w:rFonts w:asciiTheme="majorBidi" w:hAnsiTheme="majorBidi" w:cstheme="majorBidi"/>
          <w:i/>
        </w:rPr>
        <w:fldChar w:fldCharType="end"/>
      </w:r>
      <w:r>
        <w:rPr>
          <w:rFonts w:asciiTheme="majorBidi" w:hAnsiTheme="majorBidi" w:cstheme="majorBidi"/>
          <w:i/>
        </w:rPr>
        <w:t>,</w:t>
      </w:r>
      <w:r w:rsidRPr="005B1E95">
        <w:rPr>
          <w:rFonts w:asciiTheme="majorBidi" w:hAnsiTheme="majorBidi" w:cstheme="majorBidi"/>
          <w:iCs/>
        </w:rPr>
        <w:t xml:space="preserve"> </w:t>
      </w:r>
      <w:r>
        <w:rPr>
          <w:rFonts w:asciiTheme="majorBidi" w:hAnsiTheme="majorBidi" w:cstheme="majorBidi"/>
          <w:iCs/>
        </w:rPr>
        <w:t xml:space="preserve">at </w:t>
      </w:r>
      <w:r w:rsidRPr="00FF3EB3">
        <w:rPr>
          <w:rFonts w:asciiTheme="majorBidi" w:hAnsiTheme="majorBidi" w:cstheme="majorBidi"/>
          <w:iCs/>
        </w:rPr>
        <w:t>para</w:t>
      </w:r>
      <w:r>
        <w:rPr>
          <w:rFonts w:asciiTheme="majorBidi" w:hAnsiTheme="majorBidi" w:cstheme="majorBidi"/>
          <w:iCs/>
        </w:rPr>
        <w:t>.</w:t>
      </w:r>
      <w:r w:rsidRPr="00FF3EB3">
        <w:rPr>
          <w:rFonts w:asciiTheme="majorBidi" w:hAnsiTheme="majorBidi" w:cstheme="majorBidi"/>
          <w:iCs/>
        </w:rPr>
        <w:t xml:space="preserve"> 204</w:t>
      </w:r>
      <w:r w:rsidRPr="009E1C12">
        <w:rPr>
          <w:rFonts w:asciiTheme="majorBidi" w:hAnsiTheme="majorBidi" w:cstheme="majorBidi"/>
        </w:rPr>
        <w:t>.</w:t>
      </w:r>
    </w:p>
  </w:footnote>
  <w:footnote w:id="102">
    <w:p w14:paraId="5268C0B5" w14:textId="239FCBAA" w:rsidR="001A3CF6" w:rsidRPr="009E1C12" w:rsidRDefault="001A3CF6" w:rsidP="00D949B8">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i/>
          <w:iCs/>
        </w:rPr>
        <w:t xml:space="preserve">Id. </w:t>
      </w:r>
      <w:r>
        <w:rPr>
          <w:rFonts w:asciiTheme="majorBidi" w:hAnsiTheme="majorBidi" w:cstheme="majorBidi"/>
          <w:iCs/>
        </w:rPr>
        <w:t xml:space="preserve">at </w:t>
      </w:r>
      <w:r w:rsidRPr="009E1C12">
        <w:rPr>
          <w:rFonts w:asciiTheme="majorBidi" w:hAnsiTheme="majorBidi" w:cstheme="majorBidi"/>
        </w:rPr>
        <w:t>para. 129.</w:t>
      </w:r>
    </w:p>
  </w:footnote>
  <w:footnote w:id="103">
    <w:p w14:paraId="3184D451" w14:textId="44550F60" w:rsidR="001A3CF6" w:rsidRPr="009E1C12" w:rsidRDefault="001A3CF6" w:rsidP="002E7735">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Id. </w:t>
      </w:r>
      <w:r>
        <w:rPr>
          <w:rFonts w:asciiTheme="majorBidi" w:hAnsiTheme="majorBidi" w:cstheme="majorBidi"/>
        </w:rPr>
        <w:t xml:space="preserve">at </w:t>
      </w:r>
      <w:r w:rsidRPr="009E1C12">
        <w:rPr>
          <w:rFonts w:asciiTheme="majorBidi" w:hAnsiTheme="majorBidi" w:cstheme="majorBidi"/>
        </w:rPr>
        <w:t>para. 190.</w:t>
      </w:r>
    </w:p>
  </w:footnote>
  <w:footnote w:id="104">
    <w:p w14:paraId="0E38CE45" w14:textId="22AE52B5"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Id. </w:t>
      </w:r>
      <w:r>
        <w:rPr>
          <w:rFonts w:asciiTheme="majorBidi" w:hAnsiTheme="majorBidi" w:cstheme="majorBidi"/>
        </w:rPr>
        <w:t>at p</w:t>
      </w:r>
      <w:r w:rsidRPr="00FD0F11">
        <w:rPr>
          <w:rFonts w:asciiTheme="majorBidi" w:hAnsiTheme="majorBidi" w:cstheme="majorBidi"/>
        </w:rPr>
        <w:t>ara</w:t>
      </w:r>
      <w:r w:rsidRPr="009E1C12">
        <w:rPr>
          <w:rFonts w:asciiTheme="majorBidi" w:hAnsiTheme="majorBidi" w:cstheme="majorBidi"/>
        </w:rPr>
        <w:t>. 212.</w:t>
      </w:r>
    </w:p>
  </w:footnote>
  <w:footnote w:id="105">
    <w:p w14:paraId="6BD465E8" w14:textId="14A7A7DF"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9E1C12">
        <w:rPr>
          <w:rFonts w:asciiTheme="majorBidi" w:hAnsiTheme="majorBidi" w:cstheme="majorBidi"/>
        </w:rPr>
        <w:t xml:space="preserve"> </w:t>
      </w:r>
      <w:r>
        <w:rPr>
          <w:rFonts w:asciiTheme="majorBidi" w:hAnsiTheme="majorBidi" w:cstheme="majorBidi"/>
        </w:rPr>
        <w:t xml:space="preserve">at </w:t>
      </w:r>
      <w:r w:rsidRPr="009E1C12">
        <w:rPr>
          <w:rFonts w:asciiTheme="majorBidi" w:hAnsiTheme="majorBidi" w:cstheme="majorBidi"/>
        </w:rPr>
        <w:t>para. 211.</w:t>
      </w:r>
    </w:p>
  </w:footnote>
  <w:footnote w:id="106">
    <w:p w14:paraId="7AABD4A3" w14:textId="33B181F8"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i/>
        </w:rPr>
        <w:t xml:space="preserve"> </w:t>
      </w:r>
      <w:r w:rsidRPr="00B57B6A">
        <w:rPr>
          <w:rFonts w:asciiTheme="majorBidi" w:hAnsiTheme="majorBidi" w:cstheme="majorBidi"/>
        </w:rPr>
        <w:t>at</w:t>
      </w:r>
      <w:r w:rsidRPr="00BD04E4">
        <w:rPr>
          <w:rFonts w:asciiTheme="majorBidi" w:hAnsiTheme="majorBidi" w:cstheme="majorBidi"/>
        </w:rPr>
        <w:t xml:space="preserve"> </w:t>
      </w:r>
      <w:r w:rsidRPr="009E1C12">
        <w:rPr>
          <w:rFonts w:asciiTheme="majorBidi" w:hAnsiTheme="majorBidi" w:cstheme="majorBidi"/>
        </w:rPr>
        <w:t>para. 140.</w:t>
      </w:r>
    </w:p>
  </w:footnote>
  <w:footnote w:id="107">
    <w:p w14:paraId="51239CB0" w14:textId="485DE136"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B57B6A">
        <w:rPr>
          <w:rFonts w:asciiTheme="majorBidi" w:hAnsiTheme="majorBidi" w:cstheme="majorBidi"/>
          <w:i/>
        </w:rPr>
        <w:t>Id.</w:t>
      </w:r>
      <w:r>
        <w:rPr>
          <w:rFonts w:asciiTheme="majorBidi" w:hAnsiTheme="majorBidi" w:cstheme="majorBidi"/>
        </w:rPr>
        <w:t xml:space="preserve"> at</w:t>
      </w:r>
      <w:r w:rsidRPr="009E1C12">
        <w:rPr>
          <w:rFonts w:asciiTheme="majorBidi" w:hAnsiTheme="majorBidi" w:cstheme="majorBidi"/>
        </w:rPr>
        <w:t xml:space="preserve"> para. 141.</w:t>
      </w:r>
    </w:p>
  </w:footnote>
  <w:footnote w:id="108">
    <w:p w14:paraId="6ABEF2A7" w14:textId="53994F7B" w:rsidR="001A3CF6" w:rsidRPr="00B75757" w:rsidRDefault="001A3CF6">
      <w:pPr>
        <w:pStyle w:val="FootnoteText"/>
      </w:pPr>
      <w:r>
        <w:rPr>
          <w:rStyle w:val="FootnoteReference"/>
        </w:rPr>
        <w:footnoteRef/>
      </w:r>
      <w:r>
        <w:t xml:space="preserve"> </w:t>
      </w:r>
      <w:r w:rsidRPr="00B75757">
        <w:rPr>
          <w:rFonts w:ascii="Times New Roman" w:hAnsi="Times New Roman" w:cs="Times New Roman"/>
          <w:i/>
        </w:rPr>
        <w:t xml:space="preserve">See </w:t>
      </w:r>
      <w:r w:rsidRPr="00B75757">
        <w:rPr>
          <w:rFonts w:ascii="Times New Roman" w:hAnsi="Times New Roman" w:cs="Times New Roman"/>
        </w:rPr>
        <w:t xml:space="preserve">Nowak &amp; McArthur, </w:t>
      </w:r>
      <w:r w:rsidRPr="00B75757">
        <w:rPr>
          <w:rFonts w:ascii="Times New Roman" w:hAnsi="Times New Roman" w:cs="Times New Roman"/>
          <w:i/>
        </w:rPr>
        <w:t>supra</w:t>
      </w:r>
      <w:r w:rsidRPr="00B75757">
        <w:rPr>
          <w:rFonts w:ascii="Times New Roman" w:hAnsi="Times New Roman" w:cs="Times New Roman"/>
        </w:rPr>
        <w:t xml:space="preserve"> note </w:t>
      </w:r>
      <w:r w:rsidRPr="00B75757">
        <w:rPr>
          <w:rFonts w:ascii="Times New Roman" w:hAnsi="Times New Roman" w:cs="Times New Roman"/>
        </w:rPr>
        <w:fldChar w:fldCharType="begin"/>
      </w:r>
      <w:r w:rsidRPr="00B75757">
        <w:rPr>
          <w:rFonts w:ascii="Times New Roman" w:hAnsi="Times New Roman" w:cs="Times New Roman"/>
        </w:rPr>
        <w:instrText xml:space="preserve"> NOTEREF _Ref336728459 \h </w:instrText>
      </w:r>
      <w:r>
        <w:rPr>
          <w:rFonts w:ascii="Times New Roman" w:hAnsi="Times New Roman" w:cs="Times New Roman"/>
        </w:rPr>
        <w:instrText xml:space="preserve"> \* MERGEFORMAT </w:instrText>
      </w:r>
      <w:r w:rsidRPr="00B75757">
        <w:rPr>
          <w:rFonts w:ascii="Times New Roman" w:hAnsi="Times New Roman" w:cs="Times New Roman"/>
        </w:rPr>
      </w:r>
      <w:r w:rsidRPr="00B75757">
        <w:rPr>
          <w:rFonts w:ascii="Times New Roman" w:hAnsi="Times New Roman" w:cs="Times New Roman"/>
        </w:rPr>
        <w:fldChar w:fldCharType="separate"/>
      </w:r>
      <w:r>
        <w:rPr>
          <w:rFonts w:ascii="Times New Roman" w:hAnsi="Times New Roman" w:cs="Times New Roman"/>
        </w:rPr>
        <w:t>87</w:t>
      </w:r>
      <w:r w:rsidRPr="00B75757">
        <w:rPr>
          <w:rFonts w:ascii="Times New Roman" w:hAnsi="Times New Roman" w:cs="Times New Roman"/>
        </w:rPr>
        <w:fldChar w:fldCharType="end"/>
      </w:r>
      <w:r w:rsidRPr="00B75757">
        <w:rPr>
          <w:rFonts w:ascii="Times New Roman" w:hAnsi="Times New Roman" w:cs="Times New Roman"/>
        </w:rPr>
        <w:t>, at 79-84 (describing the difficulty of defining what pain and suffering can be excluded under a lawful sanction).</w:t>
      </w:r>
    </w:p>
  </w:footnote>
  <w:footnote w:id="109">
    <w:p w14:paraId="54E04D3D" w14:textId="59828C28" w:rsidR="001A3CF6" w:rsidRDefault="001A3CF6">
      <w:pPr>
        <w:pStyle w:val="FootnoteText"/>
      </w:pPr>
      <w:r>
        <w:rPr>
          <w:rStyle w:val="FootnoteReference"/>
        </w:rPr>
        <w:footnoteRef/>
      </w:r>
      <w:r>
        <w:t xml:space="preserve"> </w:t>
      </w:r>
      <w:r w:rsidRPr="00C837D4">
        <w:rPr>
          <w:rFonts w:ascii="Times New Roman" w:hAnsi="Times New Roman" w:cs="Times New Roman"/>
        </w:rPr>
        <w:t>United Nations Economic and Social Council, Question of the Human Rights of all Persons Subjected to any form of Detention or Imprisonment in particular: Torture and Other Cruel, Inhuman, or Degrading Treatment or Punishment: Report of the Special Rapporteur, Mr. Nigel S. Rodley, submitted pursuant to Commission on Human Rights Resolution 1995/37 B, UN Doc., E/CN.4/1997/7, 10 January 1997, Para. 8.</w:t>
      </w:r>
    </w:p>
  </w:footnote>
  <w:footnote w:id="110">
    <w:p w14:paraId="04BEB866" w14:textId="5495B8F2" w:rsidR="001A3CF6" w:rsidRPr="009E1C12" w:rsidRDefault="001A3CF6" w:rsidP="000902A0">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In a later case, the European Court considered the detention of a deaf man with an intellectual disability who was charged with a crime. This man used a form of sign language that only his mother could understand, and he was not allowed access to her.  As a result, he could not understand the nature or extent of his detention, and he could not complain about alleged abuse by other detainees.  In this case, the European Court cited the UN Special Rapporteur on Torture’s analysis of CRPD as well as the obligation to provide reasonable accommodation to a person with a disability. The Court found that “the inevitable feeling of isolation and helplessness flowing from the applicant’s disabilities, coupled with the presumable lack of comprehension of his own situation and that of the prison order, must have caused the applicant to experience anguish and inferiority attaining the threshold of inhuman and degrading treatment, especially in the face of the fact that he had been severed from the only person (his mother) with whom he could effectively communicate.”  Case of Z.H. v. Hungary, Application No. 28973/11, Eur. Ct. of H.R. (2012), para. 32.</w:t>
      </w:r>
    </w:p>
  </w:footnote>
  <w:footnote w:id="111">
    <w:p w14:paraId="0CC9C505" w14:textId="0EE4FE13"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i/>
        </w:rPr>
        <w:t xml:space="preserve"> </w:t>
      </w:r>
      <w:r>
        <w:rPr>
          <w:rFonts w:asciiTheme="majorBidi" w:hAnsiTheme="majorBidi" w:cstheme="majorBidi"/>
        </w:rPr>
        <w:t>at</w:t>
      </w:r>
      <w:r w:rsidRPr="009E1C12">
        <w:rPr>
          <w:rFonts w:asciiTheme="majorBidi" w:hAnsiTheme="majorBidi" w:cstheme="majorBidi"/>
        </w:rPr>
        <w:t xml:space="preserve"> para. 266.</w:t>
      </w:r>
    </w:p>
  </w:footnote>
  <w:footnote w:id="112">
    <w:p w14:paraId="7E280D32" w14:textId="7BBDBE2C" w:rsidR="001A3CF6" w:rsidRPr="009E1C12" w:rsidRDefault="001A3CF6" w:rsidP="00491ADE">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Interview by the author with Kapka Panayotova, Executive Director, Center for Independent Living, Bulgaria</w:t>
      </w:r>
      <w:r w:rsidRPr="00FF3EB3">
        <w:rPr>
          <w:rFonts w:asciiTheme="majorBidi" w:hAnsiTheme="majorBidi" w:cstheme="majorBidi"/>
        </w:rPr>
        <w:t xml:space="preserve"> (</w:t>
      </w:r>
      <w:r w:rsidRPr="009E1C12">
        <w:rPr>
          <w:rFonts w:asciiTheme="majorBidi" w:hAnsiTheme="majorBidi" w:cstheme="majorBidi"/>
        </w:rPr>
        <w:t>October 8, 2016</w:t>
      </w:r>
      <w:r w:rsidRPr="00FF3EB3">
        <w:rPr>
          <w:rFonts w:asciiTheme="majorBidi" w:hAnsiTheme="majorBidi" w:cstheme="majorBidi"/>
        </w:rPr>
        <w:t>)</w:t>
      </w:r>
      <w:r w:rsidRPr="009E1C12">
        <w:rPr>
          <w:rFonts w:asciiTheme="majorBidi" w:hAnsiTheme="majorBidi" w:cstheme="majorBidi"/>
        </w:rPr>
        <w:t>.  DRI has not been able to directly corroborate this report.</w:t>
      </w:r>
    </w:p>
  </w:footnote>
  <w:footnote w:id="113">
    <w:p w14:paraId="3E87D349" w14:textId="0B9F4CDA" w:rsidR="001A3CF6" w:rsidRPr="009E1C12" w:rsidRDefault="001A3CF6" w:rsidP="00E94832">
      <w:pPr>
        <w:pStyle w:val="FootnoteText"/>
        <w:rPr>
          <w:rFonts w:asciiTheme="majorBidi" w:hAnsiTheme="majorBidi" w:cstheme="majorBidi"/>
          <w:b/>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 xml:space="preserve">Torture in Healthcare Settings Report (2013), </w:t>
      </w:r>
      <w:r w:rsidRPr="00B57B6A">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_Ref471315098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92</w:t>
      </w:r>
      <w:r>
        <w:rPr>
          <w:rFonts w:asciiTheme="majorBidi" w:hAnsiTheme="majorBidi" w:cstheme="majorBidi"/>
        </w:rPr>
        <w:fldChar w:fldCharType="end"/>
      </w:r>
      <w:r>
        <w:rPr>
          <w:rFonts w:asciiTheme="majorBidi" w:hAnsiTheme="majorBidi" w:cstheme="majorBidi"/>
        </w:rPr>
        <w:t xml:space="preserve">, at para. 68. </w:t>
      </w:r>
    </w:p>
  </w:footnote>
  <w:footnote w:id="114">
    <w:p w14:paraId="00BCFC17" w14:textId="02DCDB73" w:rsidR="001A3CF6" w:rsidRPr="009E1C12" w:rsidRDefault="001A3CF6" w:rsidP="00696B70">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B75757">
        <w:rPr>
          <w:rFonts w:ascii="Times New Roman" w:hAnsi="Times New Roman" w:cs="Times New Roman"/>
        </w:rPr>
        <w:t>Méndez</w:t>
      </w:r>
      <w:r w:rsidRPr="009E1C12">
        <w:rPr>
          <w:rFonts w:asciiTheme="majorBidi" w:hAnsiTheme="majorBidi" w:cstheme="majorBidi"/>
        </w:rPr>
        <w:t xml:space="preserve"> 2015</w:t>
      </w:r>
      <w:r w:rsidRPr="00FF3EB3">
        <w:rPr>
          <w:rFonts w:asciiTheme="majorBidi" w:hAnsiTheme="majorBidi" w:cstheme="majorBidi"/>
        </w:rPr>
        <w:t xml:space="preserve"> Report</w:t>
      </w:r>
      <w:r w:rsidRPr="009E1C12">
        <w:rPr>
          <w:rFonts w:asciiTheme="majorBidi" w:hAnsiTheme="majorBidi" w:cstheme="majorBidi"/>
        </w:rPr>
        <w:t xml:space="preserve">, </w:t>
      </w:r>
      <w:r w:rsidRPr="009E1C12">
        <w:rPr>
          <w:rFonts w:asciiTheme="majorBidi" w:hAnsiTheme="majorBidi" w:cstheme="majorBidi"/>
          <w:i/>
        </w:rPr>
        <w:t xml:space="preserve">supra </w:t>
      </w:r>
      <w:r w:rsidRPr="009E1C12">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_Ref471731064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rsidRPr="009E1C12">
        <w:rPr>
          <w:rFonts w:asciiTheme="majorBidi" w:hAnsiTheme="majorBidi" w:cstheme="majorBidi"/>
        </w:rPr>
        <w:t>, para. 21.</w:t>
      </w:r>
    </w:p>
  </w:footnote>
  <w:footnote w:id="115">
    <w:p w14:paraId="6D1FA5C4" w14:textId="3DC4761B" w:rsidR="001A3CF6" w:rsidRPr="009E1C12" w:rsidRDefault="001A3CF6" w:rsidP="002E3FE5">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9E1C12">
        <w:rPr>
          <w:rFonts w:asciiTheme="majorBidi" w:hAnsiTheme="majorBidi" w:cstheme="majorBidi"/>
        </w:rPr>
        <w:t>.</w:t>
      </w:r>
      <w:r>
        <w:rPr>
          <w:rFonts w:asciiTheme="majorBidi" w:hAnsiTheme="majorBidi" w:cstheme="majorBidi"/>
        </w:rPr>
        <w:t xml:space="preserve"> at</w:t>
      </w:r>
      <w:r w:rsidRPr="009E1C12">
        <w:rPr>
          <w:rFonts w:asciiTheme="majorBidi" w:hAnsiTheme="majorBidi" w:cstheme="majorBidi"/>
        </w:rPr>
        <w:t xml:space="preserve"> </w:t>
      </w:r>
      <w:r w:rsidRPr="00FF3EB3">
        <w:rPr>
          <w:rFonts w:asciiTheme="majorBidi" w:hAnsiTheme="majorBidi" w:cstheme="majorBidi"/>
        </w:rPr>
        <w:t xml:space="preserve">para. </w:t>
      </w:r>
      <w:r w:rsidRPr="009E1C12">
        <w:rPr>
          <w:rFonts w:asciiTheme="majorBidi" w:hAnsiTheme="majorBidi" w:cstheme="majorBidi"/>
        </w:rPr>
        <w:t>84(c).</w:t>
      </w:r>
    </w:p>
  </w:footnote>
  <w:footnote w:id="116">
    <w:p w14:paraId="72273EDF" w14:textId="133AA1B0" w:rsidR="001A3CF6" w:rsidRPr="009E1C12" w:rsidRDefault="001A3CF6" w:rsidP="002E3FE5">
      <w:pPr>
        <w:pStyle w:val="FootnoteText"/>
        <w:rPr>
          <w:rFonts w:asciiTheme="majorBidi" w:hAnsiTheme="majorBidi" w:cstheme="majorBidi"/>
          <w:lang w:val="es-MX"/>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Pr>
          <w:rFonts w:asciiTheme="majorBidi" w:hAnsiTheme="majorBidi" w:cstheme="majorBidi"/>
        </w:rPr>
        <w:t xml:space="preserve">Torture in Healthcare Settings Report (2013), </w:t>
      </w:r>
      <w:r w:rsidRPr="00401EFD">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_Ref471315098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92</w:t>
      </w:r>
      <w:r>
        <w:rPr>
          <w:rFonts w:asciiTheme="majorBidi" w:hAnsiTheme="majorBidi" w:cstheme="majorBidi"/>
        </w:rPr>
        <w:fldChar w:fldCharType="end"/>
      </w:r>
      <w:r>
        <w:rPr>
          <w:rFonts w:asciiTheme="majorBidi" w:hAnsiTheme="majorBidi" w:cstheme="majorBidi"/>
        </w:rPr>
        <w:t xml:space="preserve">, at para. 68. </w:t>
      </w:r>
    </w:p>
  </w:footnote>
  <w:footnote w:id="117">
    <w:p w14:paraId="3D63353A" w14:textId="21925CD8" w:rsidR="001A3CF6" w:rsidRPr="009E1C12" w:rsidRDefault="001A3CF6" w:rsidP="00093021">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FF3EB3">
        <w:rPr>
          <w:rFonts w:asciiTheme="majorBidi" w:hAnsiTheme="majorBidi" w:cstheme="majorBidi"/>
        </w:rPr>
        <w:t xml:space="preserve">UN Human Rights Council, </w:t>
      </w:r>
      <w:r w:rsidRPr="009E1C12">
        <w:rPr>
          <w:rFonts w:asciiTheme="majorBidi" w:hAnsiTheme="majorBidi" w:cstheme="majorBidi"/>
          <w:i/>
          <w:iCs/>
        </w:rPr>
        <w:t>Report of the UN Special Rapporteur on the right of everyone to the enjoyment of the highest attainable standard of physical and mental health</w:t>
      </w:r>
      <w:r w:rsidRPr="009E1C12">
        <w:rPr>
          <w:rFonts w:asciiTheme="majorBidi" w:hAnsiTheme="majorBidi" w:cstheme="majorBidi"/>
        </w:rPr>
        <w:t>,</w:t>
      </w:r>
      <w:r w:rsidRPr="00FF3EB3">
        <w:rPr>
          <w:rFonts w:asciiTheme="majorBidi" w:hAnsiTheme="majorBidi" w:cstheme="majorBidi"/>
        </w:rPr>
        <w:t xml:space="preserve"> U.N. Doc. A/61/338 (Sept</w:t>
      </w:r>
      <w:r>
        <w:rPr>
          <w:rFonts w:asciiTheme="majorBidi" w:hAnsiTheme="majorBidi" w:cstheme="majorBidi"/>
        </w:rPr>
        <w:t>.</w:t>
      </w:r>
      <w:r w:rsidRPr="00FF3EB3">
        <w:rPr>
          <w:rFonts w:asciiTheme="majorBidi" w:hAnsiTheme="majorBidi" w:cstheme="majorBidi"/>
        </w:rPr>
        <w:t xml:space="preserve"> 13, 2006)</w:t>
      </w:r>
      <w:r w:rsidRPr="009E1C12">
        <w:rPr>
          <w:rFonts w:asciiTheme="majorBidi" w:hAnsiTheme="majorBidi" w:cstheme="majorBidi"/>
        </w:rPr>
        <w:t>, para.</w:t>
      </w:r>
      <w:r w:rsidRPr="00FF3EB3">
        <w:rPr>
          <w:rFonts w:asciiTheme="majorBidi" w:hAnsiTheme="majorBidi" w:cstheme="majorBidi"/>
        </w:rPr>
        <w:t xml:space="preserve"> </w:t>
      </w:r>
      <w:r w:rsidRPr="009E1C12">
        <w:rPr>
          <w:rFonts w:asciiTheme="majorBidi" w:hAnsiTheme="majorBidi" w:cstheme="majorBidi"/>
        </w:rPr>
        <w:t>85.</w:t>
      </w:r>
    </w:p>
  </w:footnote>
  <w:footnote w:id="118">
    <w:p w14:paraId="3A302B20" w14:textId="64E772FC" w:rsidR="001A3CF6" w:rsidRPr="009E1C12" w:rsidRDefault="001A3CF6" w:rsidP="009E1C12">
      <w:pPr>
        <w:pStyle w:val="FootnoteText"/>
        <w:tabs>
          <w:tab w:val="left" w:pos="2538"/>
        </w:tabs>
        <w:rPr>
          <w:rFonts w:asciiTheme="majorBidi" w:hAnsiTheme="majorBidi" w:cstheme="majorBidi"/>
          <w:b/>
        </w:rPr>
      </w:pPr>
      <w:r w:rsidRPr="009E1C12">
        <w:rPr>
          <w:rStyle w:val="FootnoteReference"/>
          <w:rFonts w:asciiTheme="majorBidi" w:hAnsiTheme="majorBidi" w:cstheme="majorBidi"/>
        </w:rPr>
        <w:footnoteRef/>
      </w:r>
      <w:r>
        <w:rPr>
          <w:rFonts w:asciiTheme="majorBidi" w:hAnsiTheme="majorBidi" w:cstheme="majorBidi"/>
        </w:rPr>
        <w:t xml:space="preserve"> </w:t>
      </w:r>
      <w:r w:rsidRPr="009E1C12">
        <w:rPr>
          <w:rFonts w:asciiTheme="majorBidi" w:hAnsiTheme="majorBidi" w:cstheme="majorBidi"/>
        </w:rPr>
        <w:t>ICCPR, art. 23(1).</w:t>
      </w:r>
      <w:r w:rsidRPr="00FF3EB3">
        <w:rPr>
          <w:rFonts w:asciiTheme="majorBidi" w:hAnsiTheme="majorBidi" w:cstheme="majorBidi"/>
        </w:rPr>
        <w:tab/>
      </w:r>
    </w:p>
  </w:footnote>
  <w:footnote w:id="119">
    <w:p w14:paraId="434D259F" w14:textId="1938D5F3" w:rsidR="001A3CF6" w:rsidRPr="009E1C12" w:rsidRDefault="001A3CF6">
      <w:pPr>
        <w:pStyle w:val="FootnoteText"/>
        <w:rPr>
          <w:rFonts w:asciiTheme="majorBidi" w:hAnsiTheme="majorBidi" w:cstheme="majorBidi"/>
          <w:b/>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FF3EB3">
        <w:rPr>
          <w:rFonts w:asciiTheme="majorBidi" w:hAnsiTheme="majorBidi" w:cstheme="majorBidi"/>
        </w:rPr>
        <w:t xml:space="preserve">UN General Assembly, </w:t>
      </w:r>
      <w:r w:rsidRPr="009E1C12">
        <w:rPr>
          <w:rFonts w:asciiTheme="majorBidi" w:hAnsiTheme="majorBidi" w:cstheme="majorBidi"/>
        </w:rPr>
        <w:t>International Covenant on Economic, Social, and Cultural rights</w:t>
      </w:r>
      <w:r w:rsidRPr="00FF3EB3">
        <w:rPr>
          <w:rFonts w:asciiTheme="majorBidi" w:hAnsiTheme="majorBidi" w:cstheme="majorBidi"/>
        </w:rPr>
        <w:t>, GA Res. 2200A (XXI), U.N. Doc. A/6316 (Jan. 3, 1976)</w:t>
      </w:r>
      <w:r w:rsidRPr="009E1C12">
        <w:rPr>
          <w:rFonts w:asciiTheme="majorBidi" w:hAnsiTheme="majorBidi" w:cstheme="majorBidi"/>
        </w:rPr>
        <w:t xml:space="preserve"> (ICESCR), art.10(1).</w:t>
      </w:r>
    </w:p>
  </w:footnote>
  <w:footnote w:id="120">
    <w:p w14:paraId="146CD9D7" w14:textId="6D974BAB"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CR</w:t>
      </w:r>
      <w:r>
        <w:rPr>
          <w:rFonts w:asciiTheme="majorBidi" w:hAnsiTheme="majorBidi" w:cstheme="majorBidi"/>
        </w:rPr>
        <w:t>C</w:t>
      </w:r>
      <w:r w:rsidRPr="009E1C12">
        <w:rPr>
          <w:rFonts w:asciiTheme="majorBidi" w:hAnsiTheme="majorBidi" w:cstheme="majorBidi"/>
        </w:rPr>
        <w:t>, art. 23(3).</w:t>
      </w:r>
    </w:p>
  </w:footnote>
  <w:footnote w:id="121">
    <w:p w14:paraId="6830999E" w14:textId="0C386FFA"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Rosemary Kayess and Phillip French, </w:t>
      </w:r>
      <w:r w:rsidRPr="009E1C12">
        <w:rPr>
          <w:rFonts w:asciiTheme="majorBidi" w:hAnsiTheme="majorBidi" w:cstheme="majorBidi"/>
          <w:i/>
          <w:iCs/>
        </w:rPr>
        <w:t>Out of Darkness into Light? Introducing the Convention on the Rights of Persons with Disabilities</w:t>
      </w:r>
      <w:r w:rsidRPr="009E1C12">
        <w:rPr>
          <w:rFonts w:asciiTheme="majorBidi" w:hAnsiTheme="majorBidi" w:cstheme="majorBidi"/>
        </w:rPr>
        <w:t xml:space="preserve">, 8 </w:t>
      </w:r>
      <w:r w:rsidRPr="009E1C12">
        <w:rPr>
          <w:rFonts w:asciiTheme="majorBidi" w:hAnsiTheme="majorBidi" w:cstheme="majorBidi"/>
          <w:smallCaps/>
        </w:rPr>
        <w:t>Human Rights Law Review</w:t>
      </w:r>
      <w:r w:rsidRPr="009E1C12">
        <w:rPr>
          <w:rFonts w:asciiTheme="majorBidi" w:hAnsiTheme="majorBidi" w:cstheme="majorBidi"/>
        </w:rPr>
        <w:t xml:space="preserve"> (2008)</w:t>
      </w:r>
      <w:r w:rsidRPr="00FF3EB3">
        <w:rPr>
          <w:rFonts w:asciiTheme="majorBidi" w:hAnsiTheme="majorBidi" w:cstheme="majorBidi"/>
        </w:rPr>
        <w:t xml:space="preserve">, </w:t>
      </w:r>
      <w:r w:rsidRPr="009E1C12">
        <w:rPr>
          <w:rFonts w:asciiTheme="majorBidi" w:hAnsiTheme="majorBidi" w:cstheme="majorBidi"/>
        </w:rPr>
        <w:t>13.</w:t>
      </w:r>
    </w:p>
  </w:footnote>
  <w:footnote w:id="122">
    <w:p w14:paraId="68354172" w14:textId="2694FB00"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Guidelines for Alternative Care,</w:t>
      </w:r>
      <w:r w:rsidRPr="009E1C12">
        <w:rPr>
          <w:rFonts w:asciiTheme="majorBidi" w:hAnsiTheme="majorBidi" w:cstheme="majorBidi"/>
          <w:i/>
        </w:rPr>
        <w:t xml:space="preserve"> supra </w:t>
      </w:r>
      <w:r w:rsidRPr="009E1C12">
        <w:rPr>
          <w:rFonts w:asciiTheme="majorBidi" w:hAnsiTheme="majorBidi" w:cstheme="majorBidi"/>
        </w:rPr>
        <w:t>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_Ref471732478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rPr>
          <w:rFonts w:asciiTheme="majorBidi" w:hAnsiTheme="majorBidi" w:cstheme="majorBidi"/>
        </w:rPr>
        <w:t xml:space="preserve">, preamble. </w:t>
      </w:r>
    </w:p>
  </w:footnote>
  <w:footnote w:id="123">
    <w:p w14:paraId="22796058" w14:textId="6C2C8ED4" w:rsidR="001A3CF6" w:rsidRPr="009E1C12" w:rsidRDefault="001A3CF6" w:rsidP="00A0729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FF3EB3">
        <w:rPr>
          <w:rFonts w:asciiTheme="majorBidi" w:hAnsiTheme="majorBidi" w:cstheme="majorBidi"/>
        </w:rPr>
        <w:t xml:space="preserve">UN General Assembly, </w:t>
      </w:r>
      <w:r w:rsidRPr="009E1C12">
        <w:rPr>
          <w:rFonts w:asciiTheme="majorBidi" w:hAnsiTheme="majorBidi" w:cstheme="majorBidi"/>
        </w:rPr>
        <w:t>C</w:t>
      </w:r>
      <w:r w:rsidRPr="00FF3EB3">
        <w:rPr>
          <w:rFonts w:asciiTheme="majorBidi" w:hAnsiTheme="majorBidi" w:cstheme="majorBidi"/>
        </w:rPr>
        <w:t xml:space="preserve">onvention on the </w:t>
      </w:r>
      <w:r w:rsidRPr="009E1C12">
        <w:rPr>
          <w:rFonts w:asciiTheme="majorBidi" w:hAnsiTheme="majorBidi" w:cstheme="majorBidi"/>
        </w:rPr>
        <w:t>R</w:t>
      </w:r>
      <w:r w:rsidRPr="00FF3EB3">
        <w:rPr>
          <w:rFonts w:asciiTheme="majorBidi" w:hAnsiTheme="majorBidi" w:cstheme="majorBidi"/>
        </w:rPr>
        <w:t xml:space="preserve">ights of the </w:t>
      </w:r>
      <w:r w:rsidRPr="009E1C12">
        <w:rPr>
          <w:rFonts w:asciiTheme="majorBidi" w:hAnsiTheme="majorBidi" w:cstheme="majorBidi"/>
        </w:rPr>
        <w:t>C</w:t>
      </w:r>
      <w:r w:rsidRPr="00FF3EB3">
        <w:rPr>
          <w:rFonts w:asciiTheme="majorBidi" w:hAnsiTheme="majorBidi" w:cstheme="majorBidi"/>
        </w:rPr>
        <w:t>hild</w:t>
      </w:r>
      <w:r w:rsidRPr="009E1C12">
        <w:rPr>
          <w:rFonts w:asciiTheme="majorBidi" w:hAnsiTheme="majorBidi" w:cstheme="majorBidi"/>
        </w:rPr>
        <w:t xml:space="preserve">, </w:t>
      </w:r>
      <w:r w:rsidRPr="00FF3EB3">
        <w:rPr>
          <w:rFonts w:asciiTheme="majorBidi" w:hAnsiTheme="majorBidi" w:cstheme="majorBidi"/>
        </w:rPr>
        <w:t xml:space="preserve">GA Res 44/25, U.N. Doc. A/RES/44/25 (Nov. 20, 1989), </w:t>
      </w:r>
      <w:r w:rsidRPr="009E1C12">
        <w:rPr>
          <w:rFonts w:asciiTheme="majorBidi" w:hAnsiTheme="majorBidi" w:cstheme="majorBidi"/>
        </w:rPr>
        <w:t>art</w:t>
      </w:r>
      <w:r w:rsidRPr="00FF3EB3">
        <w:rPr>
          <w:rFonts w:asciiTheme="majorBidi" w:hAnsiTheme="majorBidi" w:cstheme="majorBidi"/>
        </w:rPr>
        <w:t>.</w:t>
      </w:r>
      <w:r w:rsidRPr="009E1C12">
        <w:rPr>
          <w:rFonts w:asciiTheme="majorBidi" w:hAnsiTheme="majorBidi" w:cstheme="majorBidi"/>
        </w:rPr>
        <w:t xml:space="preserve"> 20(3).</w:t>
      </w:r>
    </w:p>
  </w:footnote>
  <w:footnote w:id="124">
    <w:p w14:paraId="684370B7" w14:textId="4E52B8C0" w:rsidR="001A3CF6" w:rsidRPr="009E1C12" w:rsidRDefault="001A3CF6" w:rsidP="006A0E44">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C941D3">
        <w:rPr>
          <w:rFonts w:asciiTheme="majorBidi" w:hAnsiTheme="majorBidi" w:cstheme="majorBidi"/>
        </w:rPr>
        <w:t xml:space="preserve">Europe Regional Office of the </w:t>
      </w:r>
      <w:r w:rsidRPr="00C71D58">
        <w:rPr>
          <w:rFonts w:asciiTheme="majorBidi" w:hAnsiTheme="majorBidi" w:cstheme="majorBidi"/>
        </w:rPr>
        <w:t xml:space="preserve">OHCHR (2011), </w:t>
      </w:r>
      <w:r w:rsidRPr="00C71D58">
        <w:rPr>
          <w:rFonts w:asciiTheme="majorBidi" w:hAnsiTheme="majorBidi" w:cstheme="majorBidi"/>
          <w:i/>
        </w:rPr>
        <w:t>supra</w:t>
      </w:r>
      <w:r w:rsidRPr="00C71D58">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_Ref334698833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66</w:t>
      </w:r>
      <w:r>
        <w:rPr>
          <w:rFonts w:asciiTheme="majorBidi" w:hAnsiTheme="majorBidi" w:cstheme="majorBidi"/>
        </w:rPr>
        <w:fldChar w:fldCharType="end"/>
      </w:r>
      <w:r>
        <w:rPr>
          <w:rFonts w:asciiTheme="majorBidi" w:hAnsiTheme="majorBidi" w:cstheme="majorBidi"/>
        </w:rPr>
        <w:t>, at</w:t>
      </w:r>
      <w:r w:rsidRPr="005A096C">
        <w:rPr>
          <w:rFonts w:asciiTheme="majorBidi" w:hAnsiTheme="majorBidi" w:cstheme="majorBidi"/>
        </w:rPr>
        <w:t xml:space="preserve"> 1</w:t>
      </w:r>
      <w:r>
        <w:rPr>
          <w:rFonts w:asciiTheme="majorBidi" w:hAnsiTheme="majorBidi" w:cstheme="majorBidi"/>
        </w:rPr>
        <w:t>0-11.</w:t>
      </w:r>
    </w:p>
  </w:footnote>
  <w:footnote w:id="125">
    <w:p w14:paraId="31803272" w14:textId="151B2A70"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w:t>
      </w:r>
      <w:r w:rsidRPr="009E1C12">
        <w:rPr>
          <w:rFonts w:asciiTheme="majorBidi" w:hAnsiTheme="majorBidi" w:cstheme="majorBidi"/>
        </w:rPr>
        <w:t xml:space="preserve">Kayess &amp; </w:t>
      </w:r>
      <w:r w:rsidRPr="001E72FA">
        <w:rPr>
          <w:rFonts w:asciiTheme="majorBidi" w:hAnsiTheme="majorBidi" w:cstheme="majorBidi"/>
        </w:rPr>
        <w:t xml:space="preserve">French, </w:t>
      </w:r>
      <w:r w:rsidRPr="00B57B6A">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_Ref465947796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121</w:t>
      </w:r>
      <w:r>
        <w:rPr>
          <w:rFonts w:asciiTheme="majorBidi" w:hAnsiTheme="majorBidi" w:cstheme="majorBidi"/>
        </w:rPr>
        <w:fldChar w:fldCharType="end"/>
      </w:r>
      <w:r w:rsidRPr="001E72FA">
        <w:rPr>
          <w:rFonts w:asciiTheme="majorBidi" w:hAnsiTheme="majorBidi" w:cstheme="majorBidi"/>
        </w:rPr>
        <w:t xml:space="preserve"> (assessing</w:t>
      </w:r>
      <w:r w:rsidRPr="009E1C12">
        <w:rPr>
          <w:rFonts w:asciiTheme="majorBidi" w:hAnsiTheme="majorBidi" w:cstheme="majorBidi"/>
        </w:rPr>
        <w:t xml:space="preserve"> the new contributions of the CPRD).</w:t>
      </w:r>
    </w:p>
  </w:footnote>
  <w:footnote w:id="126">
    <w:p w14:paraId="6136AA6F" w14:textId="705F08FE"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w:t>
      </w:r>
      <w:r w:rsidRPr="009E1C12">
        <w:rPr>
          <w:rFonts w:asciiTheme="majorBidi" w:hAnsiTheme="majorBidi" w:cstheme="majorBidi"/>
        </w:rPr>
        <w:t xml:space="preserve">Arlene Kanter, “Moving beyond the CRPD: will it make a difference,” </w:t>
      </w:r>
      <w:r w:rsidRPr="009E1C12">
        <w:rPr>
          <w:rFonts w:asciiTheme="majorBidi" w:hAnsiTheme="majorBidi" w:cstheme="majorBidi"/>
          <w:smallCaps/>
        </w:rPr>
        <w:t>The Development of Disability Rights under International Law</w:t>
      </w:r>
      <w:r w:rsidRPr="009E1C12">
        <w:rPr>
          <w:rFonts w:asciiTheme="majorBidi" w:hAnsiTheme="majorBidi" w:cstheme="majorBidi"/>
        </w:rPr>
        <w:t xml:space="preserve"> 300 (2015).  CRPD will impact larger society, according to Kanter, “by affirming that all people, regardless of their labe</w:t>
      </w:r>
      <w:r>
        <w:rPr>
          <w:rFonts w:asciiTheme="majorBidi" w:hAnsiTheme="majorBidi" w:cstheme="majorBidi"/>
        </w:rPr>
        <w:t>l</w:t>
      </w:r>
      <w:r w:rsidRPr="009E1C12">
        <w:rPr>
          <w:rFonts w:asciiTheme="majorBidi" w:hAnsiTheme="majorBidi" w:cstheme="majorBidi"/>
        </w:rPr>
        <w:t xml:space="preserve">s, impairments, limitations, challenges, or abilities are entitled to equality, dignity, and autonomy, as well as the support they may need to exercise their rights and to live their lives.” </w:t>
      </w:r>
      <w:r w:rsidRPr="009E1C12">
        <w:rPr>
          <w:rFonts w:asciiTheme="majorBidi" w:hAnsiTheme="majorBidi" w:cstheme="majorBidi"/>
          <w:i/>
        </w:rPr>
        <w:t>Id.</w:t>
      </w:r>
      <w:r w:rsidRPr="00FF3EB3">
        <w:rPr>
          <w:rFonts w:asciiTheme="majorBidi" w:hAnsiTheme="majorBidi" w:cstheme="majorBidi"/>
        </w:rPr>
        <w:t xml:space="preserve">, </w:t>
      </w:r>
      <w:r w:rsidRPr="009E1C12">
        <w:rPr>
          <w:rFonts w:asciiTheme="majorBidi" w:hAnsiTheme="majorBidi" w:cstheme="majorBidi"/>
        </w:rPr>
        <w:t>302.</w:t>
      </w:r>
    </w:p>
  </w:footnote>
  <w:footnote w:id="127">
    <w:p w14:paraId="7BB3EC4F" w14:textId="4BD8E453" w:rsidR="001A3CF6" w:rsidRPr="009E1C12" w:rsidRDefault="001A3CF6" w:rsidP="00CD2415">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Forgotten Europeans</w:t>
      </w:r>
      <w:r w:rsidRPr="009E1C12">
        <w:rPr>
          <w:rFonts w:asciiTheme="majorBidi" w:hAnsiTheme="majorBidi" w:cstheme="majorBidi"/>
        </w:rPr>
        <w:t xml:space="preserve">, </w:t>
      </w:r>
      <w:r w:rsidRPr="009E1C12">
        <w:rPr>
          <w:rFonts w:asciiTheme="majorBidi" w:hAnsiTheme="majorBidi" w:cstheme="majorBidi"/>
          <w:i/>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_Ref465943512 \h </w:instrText>
      </w:r>
      <w:r w:rsidRPr="00FF3EB3">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23</w:t>
      </w:r>
      <w:r w:rsidRPr="009E1C12">
        <w:rPr>
          <w:rFonts w:asciiTheme="majorBidi" w:hAnsiTheme="majorBidi" w:cstheme="majorBidi"/>
        </w:rPr>
        <w:fldChar w:fldCharType="end"/>
      </w:r>
      <w:r w:rsidRPr="009E1C12">
        <w:rPr>
          <w:rFonts w:asciiTheme="majorBidi" w:hAnsiTheme="majorBidi" w:cstheme="majorBidi"/>
        </w:rPr>
        <w:t>,</w:t>
      </w:r>
      <w:r>
        <w:rPr>
          <w:rFonts w:asciiTheme="majorBidi" w:hAnsiTheme="majorBidi" w:cstheme="majorBidi"/>
        </w:rPr>
        <w:t xml:space="preserve"> at</w:t>
      </w:r>
      <w:r w:rsidRPr="009E1C12">
        <w:rPr>
          <w:rFonts w:asciiTheme="majorBidi" w:hAnsiTheme="majorBidi" w:cstheme="majorBidi"/>
        </w:rPr>
        <w:t xml:space="preserve"> 7.</w:t>
      </w:r>
    </w:p>
  </w:footnote>
  <w:footnote w:id="128">
    <w:p w14:paraId="7FAD136A" w14:textId="7E4A65C5"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Guidelines for Alternative Care, </w:t>
      </w:r>
      <w:r w:rsidRPr="009E1C12">
        <w:rPr>
          <w:rFonts w:asciiTheme="majorBidi" w:hAnsiTheme="majorBidi" w:cstheme="majorBidi"/>
          <w:i/>
        </w:rPr>
        <w:t>supra</w:t>
      </w:r>
      <w:r w:rsidRPr="009E1C12">
        <w:rPr>
          <w:rFonts w:asciiTheme="majorBidi" w:hAnsiTheme="majorBidi" w:cstheme="majorBidi"/>
        </w:rPr>
        <w:t xml:space="preserve"> note </w:t>
      </w:r>
      <w:r>
        <w:rPr>
          <w:rFonts w:asciiTheme="majorBidi" w:hAnsiTheme="majorBidi" w:cstheme="majorBidi"/>
        </w:rPr>
        <w:t>19 at</w:t>
      </w:r>
      <w:r w:rsidRPr="009E1C12">
        <w:rPr>
          <w:rFonts w:asciiTheme="majorBidi" w:hAnsiTheme="majorBidi" w:cstheme="majorBidi"/>
        </w:rPr>
        <w:t xml:space="preserve"> para.</w:t>
      </w:r>
      <w:r w:rsidRPr="00FF3EB3">
        <w:rPr>
          <w:rFonts w:asciiTheme="majorBidi" w:hAnsiTheme="majorBidi" w:cstheme="majorBidi"/>
        </w:rPr>
        <w:t xml:space="preserve"> </w:t>
      </w:r>
      <w:r w:rsidRPr="009E1C12">
        <w:rPr>
          <w:rFonts w:asciiTheme="majorBidi" w:hAnsiTheme="majorBidi" w:cstheme="majorBidi"/>
        </w:rPr>
        <w:t>21.</w:t>
      </w:r>
    </w:p>
  </w:footnote>
  <w:footnote w:id="129">
    <w:p w14:paraId="33E1308C" w14:textId="072F2AEF"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rPr>
        <w:t xml:space="preserve"> at</w:t>
      </w:r>
      <w:r w:rsidRPr="00FF3EB3">
        <w:rPr>
          <w:rFonts w:asciiTheme="majorBidi" w:hAnsiTheme="majorBidi" w:cstheme="majorBidi"/>
        </w:rPr>
        <w:t xml:space="preserve"> </w:t>
      </w:r>
      <w:r w:rsidRPr="009E1C12">
        <w:rPr>
          <w:rFonts w:asciiTheme="majorBidi" w:hAnsiTheme="majorBidi" w:cstheme="majorBidi"/>
        </w:rPr>
        <w:t>para. 22.</w:t>
      </w:r>
    </w:p>
  </w:footnote>
  <w:footnote w:id="130">
    <w:p w14:paraId="03B42B18" w14:textId="70BFA7A6" w:rsidR="001A3CF6" w:rsidRPr="009E1C12"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James Conroy and Valerie Bradley, T</w:t>
      </w:r>
      <w:r w:rsidRPr="009E1C12">
        <w:rPr>
          <w:rFonts w:asciiTheme="majorBidi" w:eastAsia="Times New Roman" w:hAnsiTheme="majorBidi" w:cstheme="majorBidi"/>
          <w:smallCaps/>
          <w:color w:val="000000"/>
        </w:rPr>
        <w:t>he Pennhurst Longitudinal Study: A Report of Five Years of Research and Analysis, Office of the Assistant Secretary for Planning and Evaluation</w:t>
      </w:r>
      <w:r w:rsidRPr="009E1C12">
        <w:rPr>
          <w:rFonts w:asciiTheme="majorBidi" w:hAnsiTheme="majorBidi" w:cstheme="majorBidi"/>
        </w:rPr>
        <w:t xml:space="preserve">, </w:t>
      </w:r>
      <w:r w:rsidRPr="00FF3EB3">
        <w:rPr>
          <w:rFonts w:asciiTheme="majorBidi" w:hAnsiTheme="majorBidi" w:cstheme="majorBidi"/>
        </w:rPr>
        <w:t>(</w:t>
      </w:r>
      <w:r w:rsidRPr="009E1C12">
        <w:rPr>
          <w:rFonts w:asciiTheme="majorBidi" w:hAnsiTheme="majorBidi" w:cstheme="majorBidi"/>
        </w:rPr>
        <w:t>US Department of Health and Human Services, 1985</w:t>
      </w:r>
      <w:r w:rsidRPr="00FF3EB3">
        <w:rPr>
          <w:rFonts w:asciiTheme="majorBidi" w:hAnsiTheme="majorBidi" w:cstheme="majorBidi"/>
        </w:rPr>
        <w:t>),</w:t>
      </w:r>
      <w:r w:rsidRPr="009E1C12">
        <w:rPr>
          <w:rFonts w:asciiTheme="majorBidi" w:hAnsiTheme="majorBidi" w:cstheme="majorBidi"/>
        </w:rPr>
        <w:t xml:space="preserve"> </w:t>
      </w:r>
      <w:hyperlink r:id="rId14" w:history="1">
        <w:r w:rsidRPr="009E1C12">
          <w:rPr>
            <w:rStyle w:val="Hyperlink"/>
            <w:rFonts w:asciiTheme="majorBidi" w:hAnsiTheme="majorBidi" w:cstheme="majorBidi"/>
          </w:rPr>
          <w:t>https://aspe.hhs.gov/pdf-report/pennhurst-longitudinal-study-combined-report-five-years-research-and-analysis</w:t>
        </w:r>
      </w:hyperlink>
      <w:r w:rsidRPr="009E1C12">
        <w:rPr>
          <w:rFonts w:asciiTheme="majorBidi" w:hAnsiTheme="majorBidi" w:cstheme="majorBidi"/>
        </w:rPr>
        <w:t xml:space="preserve"> (last </w:t>
      </w:r>
      <w:r w:rsidRPr="00FF3EB3">
        <w:rPr>
          <w:rFonts w:asciiTheme="majorBidi" w:hAnsiTheme="majorBidi" w:cstheme="majorBidi"/>
        </w:rPr>
        <w:t>visited</w:t>
      </w:r>
      <w:r w:rsidRPr="009E1C12">
        <w:rPr>
          <w:rFonts w:asciiTheme="majorBidi" w:hAnsiTheme="majorBidi" w:cstheme="majorBidi"/>
        </w:rPr>
        <w:t xml:space="preserve"> Oct</w:t>
      </w:r>
      <w:r w:rsidRPr="00FF3EB3">
        <w:rPr>
          <w:rFonts w:asciiTheme="majorBidi" w:hAnsiTheme="majorBidi" w:cstheme="majorBidi"/>
        </w:rPr>
        <w:t>.</w:t>
      </w:r>
      <w:r w:rsidRPr="009E1C12">
        <w:rPr>
          <w:rFonts w:asciiTheme="majorBidi" w:hAnsiTheme="majorBidi" w:cstheme="majorBidi"/>
        </w:rPr>
        <w:t xml:space="preserve"> 13, 2016). On page 198, the study states: “Our preliminary findings indicate that the degree of normalization of a community setting makes a difference, with people in more normalized settings making more progress. We also find evidence that size makes a difference, with people in smaller settings doing slightly better (even though the size of the settings only ranges from 1 to 8 people).”</w:t>
      </w:r>
    </w:p>
  </w:footnote>
  <w:footnote w:id="131">
    <w:p w14:paraId="6D319D5D" w14:textId="63EA0583" w:rsidR="001A3CF6" w:rsidRPr="001E72FA" w:rsidRDefault="001A3CF6" w:rsidP="00B57B6A">
      <w:pPr>
        <w:shd w:val="clear" w:color="auto" w:fill="FFFFFF"/>
        <w:spacing w:after="0"/>
        <w:jc w:val="both"/>
        <w:rPr>
          <w:rFonts w:asciiTheme="majorBidi"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w:t>
      </w:r>
      <w:r w:rsidRPr="009E1C12">
        <w:rPr>
          <w:rFonts w:asciiTheme="majorBidi" w:eastAsia="Times New Roman" w:hAnsiTheme="majorBidi" w:cstheme="majorBidi"/>
          <w:color w:val="222222"/>
          <w:sz w:val="20"/>
          <w:szCs w:val="20"/>
        </w:rPr>
        <w:t> The UN Committee on the Rights of Persons with Disabilities held a Day of General Discussion on article 19 on April 19</w:t>
      </w:r>
      <w:r w:rsidRPr="00FF3EB3">
        <w:rPr>
          <w:rFonts w:asciiTheme="majorBidi" w:eastAsia="Times New Roman" w:hAnsiTheme="majorBidi" w:cstheme="majorBidi"/>
          <w:color w:val="222222"/>
          <w:sz w:val="20"/>
          <w:szCs w:val="20"/>
        </w:rPr>
        <w:t>,</w:t>
      </w:r>
      <w:r w:rsidRPr="009E1C12">
        <w:rPr>
          <w:rFonts w:asciiTheme="majorBidi" w:eastAsia="Times New Roman" w:hAnsiTheme="majorBidi" w:cstheme="majorBidi"/>
          <w:color w:val="222222"/>
          <w:sz w:val="20"/>
          <w:szCs w:val="20"/>
        </w:rPr>
        <w:t xml:space="preserve"> 2016 in Geneva. They solicited submissions for a general comment to be issued in 2017.  </w:t>
      </w:r>
      <w:r w:rsidRPr="009E1C12">
        <w:rPr>
          <w:rFonts w:asciiTheme="majorBidi" w:eastAsia="Times New Roman" w:hAnsiTheme="majorBidi" w:cstheme="majorBidi"/>
          <w:iCs/>
          <w:color w:val="222222"/>
          <w:sz w:val="20"/>
          <w:szCs w:val="20"/>
        </w:rPr>
        <w:t xml:space="preserve">See: Committee on </w:t>
      </w:r>
      <w:r w:rsidRPr="00005669">
        <w:rPr>
          <w:rFonts w:asciiTheme="majorBidi" w:eastAsia="Times New Roman" w:hAnsiTheme="majorBidi" w:cstheme="majorBidi"/>
          <w:iCs/>
          <w:color w:val="222222"/>
          <w:sz w:val="20"/>
          <w:szCs w:val="20"/>
        </w:rPr>
        <w:t>the Rights of Persons with Disabilities,</w:t>
      </w:r>
      <w:r w:rsidRPr="001E72FA">
        <w:rPr>
          <w:rFonts w:asciiTheme="majorBidi" w:eastAsia="Times New Roman" w:hAnsiTheme="majorBidi" w:cstheme="majorBidi"/>
          <w:i/>
          <w:color w:val="222222"/>
          <w:sz w:val="20"/>
          <w:szCs w:val="20"/>
        </w:rPr>
        <w:t xml:space="preserve"> </w:t>
      </w:r>
      <w:r w:rsidR="00D411F2">
        <w:fldChar w:fldCharType="begin"/>
      </w:r>
      <w:r w:rsidR="00D411F2">
        <w:instrText xml:space="preserve"> HYPERLINK "http://www.ohchr.org/EN/HRBodies/CRPD/Pages/CallDGDtoliveindependently.aspx" \t "_blank" </w:instrText>
      </w:r>
      <w:r w:rsidR="00D411F2">
        <w:fldChar w:fldCharType="separate"/>
      </w:r>
      <w:r w:rsidRPr="001E72FA">
        <w:rPr>
          <w:rFonts w:asciiTheme="majorBidi" w:eastAsia="Times New Roman" w:hAnsiTheme="majorBidi" w:cstheme="majorBidi"/>
          <w:color w:val="1155CC"/>
          <w:sz w:val="20"/>
          <w:szCs w:val="20"/>
          <w:u w:val="single"/>
          <w:shd w:val="clear" w:color="auto" w:fill="FFFFFF"/>
        </w:rPr>
        <w:t>http://www.ohchr.org/EN/HRBodies/CRPD/Pages/CallDGDtoliveindependently.aspx</w:t>
      </w:r>
      <w:r w:rsidR="00D411F2">
        <w:rPr>
          <w:rFonts w:asciiTheme="majorBidi" w:eastAsia="Times New Roman" w:hAnsiTheme="majorBidi" w:cstheme="majorBidi"/>
          <w:color w:val="1155CC"/>
          <w:sz w:val="20"/>
          <w:szCs w:val="20"/>
          <w:u w:val="single"/>
          <w:shd w:val="clear" w:color="auto" w:fill="FFFFFF"/>
        </w:rPr>
        <w:fldChar w:fldCharType="end"/>
      </w:r>
      <w:r w:rsidRPr="00005669">
        <w:rPr>
          <w:rFonts w:asciiTheme="majorBidi" w:eastAsia="Times New Roman" w:hAnsiTheme="majorBidi" w:cstheme="majorBidi"/>
          <w:sz w:val="20"/>
          <w:szCs w:val="20"/>
        </w:rPr>
        <w:t>.</w:t>
      </w:r>
    </w:p>
  </w:footnote>
  <w:footnote w:id="132">
    <w:p w14:paraId="064D3A0F" w14:textId="6203F962" w:rsidR="001A3CF6" w:rsidRPr="009E1C12" w:rsidRDefault="001A3CF6" w:rsidP="00B57B6A">
      <w:pPr>
        <w:pStyle w:val="FootnoteText"/>
        <w:jc w:val="both"/>
        <w:rPr>
          <w:rFonts w:asciiTheme="majorBidi" w:hAnsiTheme="majorBidi" w:cstheme="majorBidi"/>
        </w:rPr>
      </w:pPr>
      <w:r w:rsidRPr="00005669">
        <w:rPr>
          <w:rStyle w:val="FootnoteReference"/>
          <w:rFonts w:asciiTheme="majorBidi" w:hAnsiTheme="majorBidi" w:cstheme="majorBidi"/>
        </w:rPr>
        <w:footnoteRef/>
      </w:r>
      <w:r w:rsidRPr="00005669">
        <w:rPr>
          <w:rFonts w:asciiTheme="majorBidi" w:hAnsiTheme="majorBidi" w:cstheme="majorBidi"/>
        </w:rPr>
        <w:t xml:space="preserve">  </w:t>
      </w:r>
      <w:r w:rsidRPr="00B57B6A">
        <w:rPr>
          <w:rFonts w:asciiTheme="majorBidi" w:hAnsiTheme="majorBidi" w:cstheme="majorBidi"/>
        </w:rPr>
        <w:t xml:space="preserve">When the CRPD Committee has examined the application of the right to community integration for children, it has emphasized the importance of keeping children with families.  In its review of Hungary’s report, the Committee “stresses the importance of allocating sufficient resources to enable children with disabilities to continue living with their families in their own communities.”  Most of the Committee’s recommendations regarding the enforcement of Article 19, however, do not distinguish between institutions for children and adults with disabilities.  In its review of China’s report, for example, the CRPD Committee recommended “immediate steps to phase out and eliminate institution-based care for people with disabilities.”  </w:t>
      </w:r>
      <w:r w:rsidRPr="00B57B6A">
        <w:rPr>
          <w:rFonts w:asciiTheme="majorBidi" w:hAnsiTheme="majorBidi" w:cstheme="majorBidi"/>
          <w:i/>
        </w:rPr>
        <w:t xml:space="preserve">IDA’s Compilation of the CRPD Committee’s Concluding Observations and List of Issues, Article 19, </w:t>
      </w:r>
      <w:r w:rsidRPr="00B57B6A">
        <w:rPr>
          <w:rFonts w:asciiTheme="majorBidi" w:hAnsiTheme="majorBidi" w:cstheme="majorBidi"/>
        </w:rPr>
        <w:t xml:space="preserve">Hungary and China, International Disability Alliance, </w:t>
      </w:r>
      <w:r w:rsidRPr="00B57B6A">
        <w:rPr>
          <w:rFonts w:asciiTheme="majorBidi" w:hAnsiTheme="majorBidi" w:cstheme="majorBidi"/>
          <w:i/>
        </w:rPr>
        <w:t>cited in</w:t>
      </w:r>
      <w:r w:rsidRPr="00B57B6A">
        <w:rPr>
          <w:rFonts w:asciiTheme="majorBidi" w:hAnsiTheme="majorBidi" w:cstheme="majorBidi"/>
        </w:rPr>
        <w:t xml:space="preserve"> Arlene Kanter, </w:t>
      </w:r>
      <w:r w:rsidRPr="00B57B6A">
        <w:rPr>
          <w:rFonts w:asciiTheme="majorBidi" w:hAnsiTheme="majorBidi" w:cstheme="majorBidi"/>
          <w:smallCaps/>
        </w:rPr>
        <w:t>The</w:t>
      </w:r>
      <w:r w:rsidRPr="00B57B6A">
        <w:rPr>
          <w:rFonts w:asciiTheme="majorBidi" w:hAnsiTheme="majorBidi" w:cstheme="majorBidi"/>
        </w:rPr>
        <w:t xml:space="preserve"> </w:t>
      </w:r>
      <w:r w:rsidRPr="00B57B6A">
        <w:rPr>
          <w:rFonts w:asciiTheme="majorBidi" w:hAnsiTheme="majorBidi" w:cstheme="majorBidi"/>
          <w:smallCaps/>
        </w:rPr>
        <w:t>Development of Disability Rights Under International Law</w:t>
      </w:r>
      <w:r w:rsidRPr="00B57B6A">
        <w:rPr>
          <w:rFonts w:asciiTheme="majorBidi" w:hAnsiTheme="majorBidi" w:cstheme="majorBidi"/>
        </w:rPr>
        <w:t xml:space="preserve"> 89-90 (2015)</w:t>
      </w:r>
      <w:r w:rsidRPr="00005669">
        <w:rPr>
          <w:rFonts w:asciiTheme="majorBidi" w:hAnsiTheme="majorBidi" w:cstheme="majorBidi"/>
        </w:rPr>
        <w:t>.</w:t>
      </w:r>
    </w:p>
  </w:footnote>
  <w:footnote w:id="133">
    <w:p w14:paraId="3203049A" w14:textId="78BB10EB" w:rsidR="001A3CF6" w:rsidRPr="009E1C12" w:rsidRDefault="001A3CF6" w:rsidP="00F8003A">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FF3EB3">
        <w:rPr>
          <w:rFonts w:asciiTheme="majorBidi" w:hAnsiTheme="majorBidi" w:cstheme="majorBidi"/>
        </w:rPr>
        <w:t xml:space="preserve">UN </w:t>
      </w:r>
      <w:r w:rsidRPr="009E1C12">
        <w:rPr>
          <w:rFonts w:asciiTheme="majorBidi" w:hAnsiTheme="majorBidi" w:cstheme="majorBidi"/>
        </w:rPr>
        <w:t xml:space="preserve">Committee on the Rights of Persons with Disabilities, </w:t>
      </w:r>
      <w:r w:rsidRPr="009E1C12">
        <w:rPr>
          <w:rFonts w:asciiTheme="majorBidi" w:hAnsiTheme="majorBidi" w:cstheme="majorBidi"/>
          <w:i/>
          <w:iCs/>
        </w:rPr>
        <w:t>Concluding observations on the initial report of the Czech Republic</w:t>
      </w:r>
      <w:r w:rsidRPr="009E1C12">
        <w:rPr>
          <w:rFonts w:asciiTheme="majorBidi" w:hAnsiTheme="majorBidi" w:cstheme="majorBidi"/>
        </w:rPr>
        <w:t>,</w:t>
      </w:r>
      <w:r w:rsidRPr="00FF3EB3">
        <w:rPr>
          <w:rFonts w:asciiTheme="majorBidi" w:hAnsiTheme="majorBidi" w:cstheme="majorBidi"/>
        </w:rPr>
        <w:t xml:space="preserve"> UN Doc. CRPD/C/CZE/CO/1</w:t>
      </w:r>
      <w:r w:rsidRPr="009E1C12">
        <w:rPr>
          <w:rFonts w:asciiTheme="majorBidi" w:hAnsiTheme="majorBidi" w:cstheme="majorBidi"/>
        </w:rPr>
        <w:t xml:space="preserve"> </w:t>
      </w:r>
      <w:r w:rsidRPr="00FF3EB3">
        <w:rPr>
          <w:rFonts w:asciiTheme="majorBidi" w:hAnsiTheme="majorBidi" w:cstheme="majorBidi"/>
        </w:rPr>
        <w:t>(</w:t>
      </w:r>
      <w:r w:rsidRPr="009E1C12">
        <w:rPr>
          <w:rFonts w:asciiTheme="majorBidi" w:hAnsiTheme="majorBidi" w:cstheme="majorBidi"/>
        </w:rPr>
        <w:t>May 15</w:t>
      </w:r>
      <w:r w:rsidRPr="00FF3EB3">
        <w:rPr>
          <w:rFonts w:asciiTheme="majorBidi" w:hAnsiTheme="majorBidi" w:cstheme="majorBidi"/>
        </w:rPr>
        <w:t>,</w:t>
      </w:r>
      <w:r w:rsidRPr="009E1C12">
        <w:rPr>
          <w:rFonts w:asciiTheme="majorBidi" w:hAnsiTheme="majorBidi" w:cstheme="majorBidi"/>
        </w:rPr>
        <w:t xml:space="preserve"> 2015</w:t>
      </w:r>
      <w:r w:rsidRPr="00FF3EB3">
        <w:rPr>
          <w:rFonts w:asciiTheme="majorBidi" w:hAnsiTheme="majorBidi" w:cstheme="majorBidi"/>
        </w:rPr>
        <w:t>),</w:t>
      </w:r>
      <w:r w:rsidRPr="009E1C12">
        <w:rPr>
          <w:rFonts w:asciiTheme="majorBidi" w:hAnsiTheme="majorBidi" w:cstheme="majorBidi"/>
        </w:rPr>
        <w:t xml:space="preserve"> </w:t>
      </w:r>
      <w:hyperlink r:id="rId15" w:history="1">
        <w:r w:rsidRPr="009E1C12">
          <w:rPr>
            <w:rStyle w:val="Hyperlink"/>
            <w:rFonts w:asciiTheme="majorBidi" w:hAnsiTheme="majorBidi" w:cstheme="majorBidi"/>
          </w:rPr>
          <w:t>http://tbinternet.ohchr.org/_layouts/treatybodyexternal/Download.aspx?symbolno=CRPD%2fC%2fCZE%2fCO%2f1&amp;Lang=en</w:t>
        </w:r>
      </w:hyperlink>
      <w:r w:rsidRPr="009E1C12">
        <w:rPr>
          <w:rFonts w:asciiTheme="majorBidi" w:hAnsiTheme="majorBidi" w:cstheme="majorBidi"/>
        </w:rPr>
        <w:t xml:space="preserve"> </w:t>
      </w:r>
    </w:p>
  </w:footnote>
  <w:footnote w:id="134">
    <w:p w14:paraId="039FA228" w14:textId="6E2EE07B" w:rsidR="001A3CF6" w:rsidRPr="009E1C12" w:rsidRDefault="001A3CF6" w:rsidP="00606DE8">
      <w:pPr>
        <w:pStyle w:val="FootnoteText"/>
        <w:rPr>
          <w:rFonts w:asciiTheme="majorBidi" w:hAnsiTheme="majorBidi" w:cstheme="majorBidi"/>
          <w:b/>
        </w:rPr>
      </w:pPr>
      <w:r w:rsidRPr="009E1C12">
        <w:rPr>
          <w:rStyle w:val="FootnoteReference"/>
          <w:rFonts w:asciiTheme="majorBidi" w:hAnsiTheme="majorBidi" w:cstheme="majorBidi"/>
        </w:rPr>
        <w:footnoteRef/>
      </w:r>
      <w:r w:rsidRPr="009E1C12">
        <w:rPr>
          <w:rFonts w:asciiTheme="majorBidi" w:hAnsiTheme="majorBidi" w:cstheme="majorBidi"/>
        </w:rPr>
        <w:t xml:space="preserve"> CRPD Committee review of Guatemala’s record. “Abolir la colocación de niños y niñas de todas las edades bajo el cuidado de instituciones”. “Abolish the placement of children of all ages under the care of institutions”. </w:t>
      </w:r>
      <w:r w:rsidRPr="00FF3EB3">
        <w:rPr>
          <w:rFonts w:asciiTheme="majorBidi" w:hAnsiTheme="majorBidi" w:cstheme="majorBidi"/>
        </w:rPr>
        <w:t>UN Committee on the Rights of Persons with Disabilities</w:t>
      </w:r>
      <w:r w:rsidRPr="009E1C12">
        <w:rPr>
          <w:rFonts w:asciiTheme="majorBidi" w:hAnsiTheme="majorBidi" w:cstheme="majorBidi"/>
        </w:rPr>
        <w:t xml:space="preserve">, </w:t>
      </w:r>
      <w:r w:rsidRPr="009E1C12">
        <w:rPr>
          <w:rFonts w:asciiTheme="majorBidi" w:hAnsiTheme="majorBidi" w:cstheme="majorBidi"/>
          <w:i/>
          <w:iCs/>
        </w:rPr>
        <w:t>Concluding Observations of the Committee on the Rights of Persons with Disabilities on the Initial Report of Guatemala</w:t>
      </w:r>
      <w:r w:rsidRPr="009E1C12">
        <w:rPr>
          <w:rFonts w:asciiTheme="majorBidi" w:hAnsiTheme="majorBidi" w:cstheme="majorBidi"/>
        </w:rPr>
        <w:t>, UN</w:t>
      </w:r>
      <w:r w:rsidRPr="00FF3EB3">
        <w:rPr>
          <w:rFonts w:asciiTheme="majorBidi" w:hAnsiTheme="majorBidi" w:cstheme="majorBidi"/>
        </w:rPr>
        <w:t xml:space="preserve"> Doc.</w:t>
      </w:r>
      <w:r w:rsidRPr="009E1C12">
        <w:rPr>
          <w:rFonts w:asciiTheme="majorBidi" w:hAnsiTheme="majorBidi" w:cstheme="majorBidi"/>
        </w:rPr>
        <w:t xml:space="preserve"> CRPD/C/GTM/CO/1 </w:t>
      </w:r>
      <w:r w:rsidRPr="00FF3EB3">
        <w:rPr>
          <w:rFonts w:asciiTheme="majorBidi" w:hAnsiTheme="majorBidi" w:cstheme="majorBidi"/>
        </w:rPr>
        <w:t>(</w:t>
      </w:r>
      <w:r w:rsidRPr="009E1C12">
        <w:rPr>
          <w:rFonts w:asciiTheme="majorBidi" w:hAnsiTheme="majorBidi" w:cstheme="majorBidi"/>
        </w:rPr>
        <w:t>August 31, 2016</w:t>
      </w:r>
      <w:r w:rsidRPr="00FF3EB3">
        <w:rPr>
          <w:rFonts w:asciiTheme="majorBidi" w:hAnsiTheme="majorBidi" w:cstheme="majorBidi"/>
        </w:rPr>
        <w:t>)</w:t>
      </w:r>
      <w:r w:rsidRPr="009E1C12">
        <w:rPr>
          <w:rFonts w:asciiTheme="majorBidi" w:hAnsiTheme="majorBidi" w:cstheme="majorBidi"/>
        </w:rPr>
        <w:t>,</w:t>
      </w:r>
      <w:r w:rsidRPr="00FF3EB3">
        <w:rPr>
          <w:rFonts w:asciiTheme="majorBidi" w:hAnsiTheme="majorBidi" w:cstheme="majorBidi"/>
        </w:rPr>
        <w:t xml:space="preserve"> para. 54,</w:t>
      </w:r>
      <w:r w:rsidRPr="009E1C12">
        <w:rPr>
          <w:rFonts w:asciiTheme="majorBidi" w:hAnsiTheme="majorBidi" w:cstheme="majorBidi"/>
        </w:rPr>
        <w:t xml:space="preserve"> </w:t>
      </w:r>
      <w:hyperlink r:id="rId16" w:history="1">
        <w:r w:rsidRPr="009E1C12">
          <w:rPr>
            <w:rStyle w:val="Hyperlink"/>
            <w:rFonts w:asciiTheme="majorBidi" w:hAnsiTheme="majorBidi" w:cstheme="majorBidi"/>
          </w:rPr>
          <w:t>http://tbinternet.ohchr.org/_layouts/treatybodyexternal/TBSearch.aspx?TreatyID=4&amp;DocTypeID=5</w:t>
        </w:r>
      </w:hyperlink>
      <w:r w:rsidRPr="009E1C12">
        <w:rPr>
          <w:rFonts w:asciiTheme="majorBidi" w:hAnsiTheme="majorBidi" w:cstheme="majorBidi"/>
        </w:rPr>
        <w:t xml:space="preserve"> (author’s translation).</w:t>
      </w:r>
    </w:p>
  </w:footnote>
  <w:footnote w:id="135">
    <w:p w14:paraId="320D9702" w14:textId="7A9C5991"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 xml:space="preserve">DRI will ask the CRPD for a clarification of its position on the placement of children in institutions in relation to article 19 of the convention. </w:t>
      </w:r>
      <w:r w:rsidRPr="009E1C12">
        <w:rPr>
          <w:rFonts w:asciiTheme="majorBidi" w:hAnsiTheme="majorBidi" w:cstheme="majorBidi"/>
        </w:rPr>
        <w:t xml:space="preserve">Copies of DRI’s submissions and those of other NGOs will be posted on the CRPD Committee website in 2017.   DRI’s submission is available through the author of this article at </w:t>
      </w:r>
      <w:hyperlink r:id="rId17" w:history="1">
        <w:r w:rsidRPr="009E1C12">
          <w:rPr>
            <w:rStyle w:val="Hyperlink"/>
            <w:rFonts w:asciiTheme="majorBidi" w:hAnsiTheme="majorBidi" w:cstheme="majorBidi"/>
          </w:rPr>
          <w:t>erosenthal@DRIadvocacy.org</w:t>
        </w:r>
      </w:hyperlink>
      <w:r w:rsidRPr="009E1C12">
        <w:rPr>
          <w:rFonts w:asciiTheme="majorBidi" w:hAnsiTheme="majorBidi" w:cstheme="majorBidi"/>
        </w:rPr>
        <w:t xml:space="preserve"> </w:t>
      </w:r>
    </w:p>
  </w:footnote>
  <w:footnote w:id="136">
    <w:p w14:paraId="7BDCD642" w14:textId="60CBE898" w:rsidR="001A3CF6" w:rsidRPr="009E1C12" w:rsidRDefault="001A3CF6" w:rsidP="001A5112">
      <w:pPr>
        <w:pStyle w:val="FootnoteText"/>
        <w:rPr>
          <w:rFonts w:asciiTheme="majorBidi" w:hAnsiTheme="majorBidi" w:cstheme="majorBidi"/>
        </w:rPr>
      </w:pPr>
      <w:r w:rsidRPr="009E1C12">
        <w:rPr>
          <w:rStyle w:val="FootnoteReference"/>
          <w:rFonts w:asciiTheme="majorBidi" w:hAnsiTheme="majorBidi" w:cstheme="majorBidi"/>
        </w:rPr>
        <w:footnoteRef/>
      </w:r>
      <w:r w:rsidRPr="00B56E67">
        <w:rPr>
          <w:rFonts w:ascii="Times New Roman" w:hAnsi="Times New Roman" w:cs="Times New Roman"/>
        </w:rPr>
        <w:t>Méndez</w:t>
      </w:r>
      <w:r w:rsidRPr="009E1C12">
        <w:rPr>
          <w:rFonts w:asciiTheme="majorBidi" w:hAnsiTheme="majorBidi" w:cstheme="majorBidi"/>
        </w:rPr>
        <w:t xml:space="preserve"> 201</w:t>
      </w:r>
      <w:r w:rsidRPr="00FF3EB3">
        <w:rPr>
          <w:rFonts w:asciiTheme="majorBidi" w:hAnsiTheme="majorBidi" w:cstheme="majorBidi"/>
        </w:rPr>
        <w:t>5 Report</w:t>
      </w:r>
      <w:r w:rsidRPr="009E1C12">
        <w:rPr>
          <w:rFonts w:asciiTheme="majorBidi" w:hAnsiTheme="majorBidi" w:cstheme="majorBidi"/>
        </w:rPr>
        <w:t xml:space="preserve">, </w:t>
      </w:r>
      <w:r w:rsidRPr="00B57B6A">
        <w:rPr>
          <w:rFonts w:asciiTheme="majorBidi" w:hAnsiTheme="majorBidi" w:cstheme="majorBidi"/>
          <w:i/>
        </w:rPr>
        <w:t>supra</w:t>
      </w:r>
      <w:r w:rsidRPr="00B57B6A">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_Ref471731064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rsidRPr="001E72FA">
        <w:rPr>
          <w:rFonts w:asciiTheme="majorBidi" w:hAnsiTheme="majorBidi" w:cstheme="majorBidi"/>
        </w:rPr>
        <w:t xml:space="preserve"> at para. 62 (</w:t>
      </w:r>
      <w:r w:rsidRPr="00B56E67">
        <w:rPr>
          <w:rFonts w:ascii="Times New Roman" w:hAnsi="Times New Roman" w:cs="Times New Roman"/>
        </w:rPr>
        <w:t>Méndez</w:t>
      </w:r>
      <w:r w:rsidRPr="001E72FA">
        <w:rPr>
          <w:rFonts w:asciiTheme="majorBidi" w:hAnsiTheme="majorBidi" w:cstheme="majorBidi"/>
        </w:rPr>
        <w:t xml:space="preserve"> cites jurisprudence from the European Court to back this position).</w:t>
      </w:r>
    </w:p>
  </w:footnote>
  <w:footnote w:id="137">
    <w:p w14:paraId="1CEB5C26" w14:textId="1C10AC82" w:rsidR="001A3CF6" w:rsidRPr="009E1C12" w:rsidRDefault="001A3CF6" w:rsidP="00240737">
      <w:pPr>
        <w:pStyle w:val="FootnoteText"/>
        <w:rPr>
          <w:rFonts w:asciiTheme="majorBidi" w:hAnsiTheme="majorBidi" w:cstheme="majorBidi"/>
          <w:lang w:val="es-MX"/>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sidRPr="009E1C12">
        <w:rPr>
          <w:rFonts w:asciiTheme="majorBidi" w:hAnsiTheme="majorBidi" w:cstheme="majorBidi"/>
          <w:i/>
          <w:lang w:val="es-MX"/>
        </w:rPr>
        <w:t>Id.</w:t>
      </w:r>
      <w:r>
        <w:rPr>
          <w:rFonts w:asciiTheme="majorBidi" w:hAnsiTheme="majorBidi" w:cstheme="majorBidi"/>
          <w:i/>
          <w:lang w:val="es-MX"/>
        </w:rPr>
        <w:t xml:space="preserve"> </w:t>
      </w:r>
      <w:r w:rsidRPr="00B57B6A">
        <w:rPr>
          <w:rFonts w:asciiTheme="majorBidi" w:hAnsiTheme="majorBidi" w:cstheme="majorBidi"/>
          <w:lang w:val="es-MX"/>
        </w:rPr>
        <w:t>at</w:t>
      </w:r>
      <w:r w:rsidRPr="001E72FA">
        <w:rPr>
          <w:rFonts w:asciiTheme="majorBidi" w:hAnsiTheme="majorBidi" w:cstheme="majorBidi"/>
          <w:lang w:val="es-MX"/>
        </w:rPr>
        <w:t xml:space="preserve"> </w:t>
      </w:r>
      <w:r w:rsidRPr="009E1C12">
        <w:rPr>
          <w:rFonts w:asciiTheme="majorBidi" w:hAnsiTheme="majorBidi" w:cstheme="majorBidi"/>
          <w:lang w:val="es-MX"/>
        </w:rPr>
        <w:t>para. 80.</w:t>
      </w:r>
    </w:p>
  </w:footnote>
  <w:footnote w:id="138">
    <w:p w14:paraId="0C3ADC26" w14:textId="77777777" w:rsidR="001A3CF6" w:rsidRPr="009E1C12" w:rsidRDefault="001A3CF6" w:rsidP="00240737">
      <w:pPr>
        <w:pStyle w:val="FootnoteText"/>
        <w:rPr>
          <w:rFonts w:asciiTheme="majorBidi" w:hAnsiTheme="majorBidi" w:cstheme="majorBidi"/>
          <w:i/>
          <w:lang w:val="es-MX"/>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sidRPr="009E1C12">
        <w:rPr>
          <w:rFonts w:asciiTheme="majorBidi" w:hAnsiTheme="majorBidi" w:cstheme="majorBidi"/>
          <w:i/>
          <w:lang w:val="es-MX"/>
        </w:rPr>
        <w:t>Id.</w:t>
      </w:r>
    </w:p>
  </w:footnote>
  <w:footnote w:id="139">
    <w:p w14:paraId="491C5613" w14:textId="77777777" w:rsidR="001A3CF6" w:rsidRPr="009E1C12" w:rsidRDefault="001A3CF6" w:rsidP="00240737">
      <w:pPr>
        <w:pStyle w:val="FootnoteText"/>
        <w:rPr>
          <w:rFonts w:asciiTheme="majorBidi" w:hAnsiTheme="majorBidi" w:cstheme="majorBidi"/>
          <w:i/>
          <w:lang w:val="es-MX"/>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sidRPr="009E1C12">
        <w:rPr>
          <w:rFonts w:asciiTheme="majorBidi" w:hAnsiTheme="majorBidi" w:cstheme="majorBidi"/>
          <w:i/>
          <w:lang w:val="es-MX"/>
        </w:rPr>
        <w:t>Id.</w:t>
      </w:r>
    </w:p>
  </w:footnote>
  <w:footnote w:id="140">
    <w:p w14:paraId="32E17331" w14:textId="26E706AD" w:rsidR="001A3CF6" w:rsidRPr="009E1C12" w:rsidRDefault="001A3CF6" w:rsidP="004E6A7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sidRPr="00B30B1A">
        <w:rPr>
          <w:rFonts w:asciiTheme="majorBidi" w:hAnsiTheme="majorBidi" w:cstheme="majorBidi"/>
          <w:lang w:val="es-MX"/>
        </w:rPr>
        <w:t>Torture in Healthcare</w:t>
      </w:r>
      <w:r w:rsidRPr="00B57B6A">
        <w:rPr>
          <w:rFonts w:asciiTheme="majorBidi" w:hAnsiTheme="majorBidi" w:cstheme="majorBidi"/>
          <w:lang w:val="es-MX"/>
        </w:rPr>
        <w:t xml:space="preserve"> Report, </w:t>
      </w:r>
      <w:r w:rsidRPr="00B57B6A">
        <w:rPr>
          <w:rFonts w:asciiTheme="majorBidi" w:hAnsiTheme="majorBidi" w:cstheme="majorBidi"/>
          <w:i/>
          <w:lang w:val="es-MX"/>
        </w:rPr>
        <w:t xml:space="preserve">supra </w:t>
      </w:r>
      <w:r w:rsidRPr="00B57B6A">
        <w:rPr>
          <w:rFonts w:asciiTheme="majorBidi" w:hAnsiTheme="majorBidi" w:cstheme="majorBidi"/>
          <w:lang w:val="es-MX"/>
        </w:rPr>
        <w:t xml:space="preserve">note </w:t>
      </w:r>
      <w:r>
        <w:rPr>
          <w:rFonts w:asciiTheme="majorBidi" w:hAnsiTheme="majorBidi" w:cstheme="majorBidi"/>
          <w:lang w:val="es-MX"/>
        </w:rPr>
        <w:fldChar w:fldCharType="begin"/>
      </w:r>
      <w:r>
        <w:rPr>
          <w:rFonts w:asciiTheme="majorBidi" w:hAnsiTheme="majorBidi" w:cstheme="majorBidi"/>
          <w:lang w:val="es-MX"/>
        </w:rPr>
        <w:instrText xml:space="preserve"> NOTEREF _Ref471315098 \h </w:instrText>
      </w:r>
      <w:r>
        <w:rPr>
          <w:rFonts w:asciiTheme="majorBidi" w:hAnsiTheme="majorBidi" w:cstheme="majorBidi"/>
          <w:lang w:val="es-MX"/>
        </w:rPr>
      </w:r>
      <w:r>
        <w:rPr>
          <w:rFonts w:asciiTheme="majorBidi" w:hAnsiTheme="majorBidi" w:cstheme="majorBidi"/>
          <w:lang w:val="es-MX"/>
        </w:rPr>
        <w:fldChar w:fldCharType="separate"/>
      </w:r>
      <w:r>
        <w:rPr>
          <w:rFonts w:asciiTheme="majorBidi" w:hAnsiTheme="majorBidi" w:cstheme="majorBidi"/>
          <w:lang w:val="es-MX"/>
        </w:rPr>
        <w:t>92</w:t>
      </w:r>
      <w:r>
        <w:rPr>
          <w:rFonts w:asciiTheme="majorBidi" w:hAnsiTheme="majorBidi" w:cstheme="majorBidi"/>
          <w:lang w:val="es-MX"/>
        </w:rPr>
        <w:fldChar w:fldCharType="end"/>
      </w:r>
      <w:r w:rsidRPr="001E72FA">
        <w:rPr>
          <w:rFonts w:asciiTheme="majorBidi" w:hAnsiTheme="majorBidi" w:cstheme="majorBidi"/>
        </w:rPr>
        <w:t>, para. 68.</w:t>
      </w:r>
    </w:p>
  </w:footnote>
  <w:footnote w:id="141">
    <w:p w14:paraId="0E0CF173" w14:textId="1CEACD13" w:rsidR="001A3CF6" w:rsidRPr="009E1C12" w:rsidRDefault="001A3CF6" w:rsidP="004E6A7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rPr>
        <w:t xml:space="preserve"> at</w:t>
      </w:r>
      <w:r w:rsidRPr="009E1C12">
        <w:rPr>
          <w:rFonts w:asciiTheme="majorBidi" w:hAnsiTheme="majorBidi" w:cstheme="majorBidi"/>
        </w:rPr>
        <w:t xml:space="preserve"> para. 89(b).</w:t>
      </w:r>
    </w:p>
  </w:footnote>
  <w:footnote w:id="142">
    <w:p w14:paraId="65684EE4" w14:textId="76CA1E8D" w:rsidR="001A3CF6" w:rsidRPr="009E1C12" w:rsidRDefault="001A3CF6" w:rsidP="006A0E44">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Europe Regional Office of the </w:t>
      </w:r>
      <w:r w:rsidRPr="00FF3EB3">
        <w:rPr>
          <w:rFonts w:asciiTheme="majorBidi" w:hAnsiTheme="majorBidi" w:cstheme="majorBidi"/>
        </w:rPr>
        <w:t>O</w:t>
      </w:r>
      <w:r w:rsidRPr="009E1C12">
        <w:rPr>
          <w:rFonts w:asciiTheme="majorBidi" w:hAnsiTheme="majorBidi" w:cstheme="majorBidi"/>
        </w:rPr>
        <w:t>HCHR</w:t>
      </w:r>
      <w:r>
        <w:rPr>
          <w:rFonts w:asciiTheme="majorBidi" w:hAnsiTheme="majorBidi" w:cstheme="majorBidi"/>
        </w:rPr>
        <w:t xml:space="preserve"> </w:t>
      </w:r>
      <w:r w:rsidRPr="00C71D58">
        <w:rPr>
          <w:rFonts w:asciiTheme="majorBidi" w:hAnsiTheme="majorBidi" w:cstheme="majorBidi"/>
        </w:rPr>
        <w:t>(2011)</w:t>
      </w:r>
      <w:r w:rsidRPr="009E1C12">
        <w:rPr>
          <w:rFonts w:asciiTheme="majorBidi" w:hAnsiTheme="majorBidi" w:cstheme="majorBidi"/>
        </w:rPr>
        <w:t xml:space="preserve">, </w:t>
      </w:r>
      <w:r w:rsidRPr="009E1C12">
        <w:rPr>
          <w:rFonts w:asciiTheme="majorBidi" w:hAnsiTheme="majorBidi" w:cstheme="majorBidi"/>
          <w:i/>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_Ref334698833 \h </w:instrText>
      </w:r>
      <w:r w:rsidRPr="00FF3EB3">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66</w:t>
      </w:r>
      <w:r w:rsidRPr="009E1C12">
        <w:rPr>
          <w:rFonts w:asciiTheme="majorBidi" w:hAnsiTheme="majorBidi" w:cstheme="majorBidi"/>
        </w:rPr>
        <w:fldChar w:fldCharType="end"/>
      </w:r>
      <w:r>
        <w:rPr>
          <w:rFonts w:asciiTheme="majorBidi" w:hAnsiTheme="majorBidi" w:cstheme="majorBidi"/>
        </w:rPr>
        <w:t xml:space="preserve"> at</w:t>
      </w:r>
      <w:r w:rsidRPr="009E1C12">
        <w:rPr>
          <w:rFonts w:asciiTheme="majorBidi" w:hAnsiTheme="majorBidi" w:cstheme="majorBidi"/>
        </w:rPr>
        <w:t xml:space="preserve"> 9.</w:t>
      </w:r>
    </w:p>
  </w:footnote>
  <w:footnote w:id="143">
    <w:p w14:paraId="551B4CFF" w14:textId="492C2D11" w:rsidR="001A3CF6" w:rsidRPr="009E1C12" w:rsidRDefault="001A3CF6" w:rsidP="00F923E0">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B56E67">
        <w:rPr>
          <w:rFonts w:ascii="Times New Roman" w:hAnsi="Times New Roman" w:cs="Times New Roman"/>
        </w:rPr>
        <w:t>Méndez</w:t>
      </w:r>
      <w:r w:rsidRPr="00FF3EB3">
        <w:rPr>
          <w:rFonts w:asciiTheme="majorBidi" w:hAnsiTheme="majorBidi" w:cstheme="majorBidi"/>
        </w:rPr>
        <w:t xml:space="preserve"> 2015</w:t>
      </w:r>
      <w:r w:rsidRPr="009E1C12">
        <w:rPr>
          <w:rFonts w:asciiTheme="majorBidi" w:hAnsiTheme="majorBidi" w:cstheme="majorBidi"/>
        </w:rPr>
        <w:t xml:space="preserve"> Report, </w:t>
      </w:r>
      <w:r w:rsidRPr="009E1C12">
        <w:rPr>
          <w:rFonts w:asciiTheme="majorBidi" w:hAnsiTheme="majorBidi" w:cstheme="majorBidi"/>
          <w:i/>
        </w:rPr>
        <w:t>supra</w:t>
      </w:r>
      <w:r w:rsidRPr="009E1C12">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_Ref471731064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rsidRPr="009E1C12">
        <w:rPr>
          <w:rFonts w:asciiTheme="majorBidi" w:hAnsiTheme="majorBidi" w:cstheme="majorBidi"/>
        </w:rPr>
        <w:t>,</w:t>
      </w:r>
      <w:r>
        <w:rPr>
          <w:rFonts w:asciiTheme="majorBidi" w:hAnsiTheme="majorBidi" w:cstheme="majorBidi"/>
        </w:rPr>
        <w:t xml:space="preserve"> at</w:t>
      </w:r>
      <w:r w:rsidRPr="009E1C12">
        <w:rPr>
          <w:rFonts w:asciiTheme="majorBidi" w:hAnsiTheme="majorBidi" w:cstheme="majorBidi"/>
        </w:rPr>
        <w:t xml:space="preserve"> para. 16.</w:t>
      </w:r>
    </w:p>
  </w:footnote>
  <w:footnote w:id="144">
    <w:p w14:paraId="2D515509" w14:textId="2BCD65E4" w:rsidR="001A3CF6" w:rsidRDefault="001A3CF6" w:rsidP="007924C2">
      <w:pPr>
        <w:pStyle w:val="SingleTxtG"/>
        <w:ind w:left="0"/>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This section of the Méndez report states in full:</w:t>
      </w:r>
    </w:p>
    <w:p w14:paraId="13D2A695" w14:textId="77777777" w:rsidR="001A3CF6" w:rsidRDefault="001A3CF6" w:rsidP="007924C2">
      <w:pPr>
        <w:pStyle w:val="SingleTxtG"/>
        <w:ind w:left="720"/>
        <w:rPr>
          <w:rFonts w:eastAsia="Arial Unicode MS" w:hAnsi="Arial Unicode MS"/>
          <w:color w:val="000000"/>
          <w:u w:color="000000"/>
        </w:rPr>
      </w:pPr>
      <w:r w:rsidRPr="007924C2">
        <w:rPr>
          <w:rFonts w:eastAsia="Arial Unicode MS" w:hAnsi="Arial Unicode MS"/>
          <w:color w:val="000000"/>
          <w:u w:color="000000"/>
        </w:rPr>
        <w:t xml:space="preserve">The deprivation of liberty of children is intended to be an </w:t>
      </w:r>
      <w:r w:rsidRPr="007924C2">
        <w:rPr>
          <w:rFonts w:eastAsia="Arial Unicode MS" w:hAnsi="Arial Unicode MS"/>
          <w:i/>
          <w:color w:val="000000"/>
          <w:u w:color="000000"/>
        </w:rPr>
        <w:t>ultima ratio</w:t>
      </w:r>
      <w:r w:rsidRPr="007924C2">
        <w:rPr>
          <w:rFonts w:eastAsia="Arial Unicode MS" w:hAnsi="Arial Unicode MS"/>
          <w:color w:val="000000"/>
          <w:u w:color="000000"/>
        </w:rPr>
        <w:t xml:space="preserve"> measure, to be used only for the shortest possible period of time, only if is in</w:t>
      </w:r>
      <w:r w:rsidRPr="000919FC">
        <w:rPr>
          <w:rFonts w:eastAsia="Arial Unicode MS" w:hAnsi="Arial Unicode MS"/>
          <w:b/>
          <w:color w:val="000000"/>
          <w:u w:color="000000"/>
        </w:rPr>
        <w:t xml:space="preserve"> </w:t>
      </w:r>
      <w:r w:rsidRPr="003F5FAB">
        <w:rPr>
          <w:rFonts w:eastAsia="Arial Unicode MS" w:hAnsi="Arial Unicode MS"/>
          <w:color w:val="000000"/>
          <w:u w:color="000000"/>
        </w:rPr>
        <w:t>the best interests of the child, and limited to exceptional cases. Failure to recognize or apply these safeguards increases the risk of children being subjected to torture or other ill-treatment, and implicates State responsibility. Therefore, States should, to the greatest extent possible, and always using the least restrictive means necessary, adopt alternatives to detention that fulfil the best interests of the child and the obligation to prevent torture or other ill-treatment of children, together with their rights to liberty and family life, through legislation, policies and practices that allow children to remain with family members or guardians in a non-custodial, community-based context. Alternatives to detention must be given priority in order to prevent torture and the ill-treatment of children. This includes access to counselling, probation and community services, including mediation services and restorative justice. Furthermore, if circumstances change and the reclusion of children is no longer required, States are required to release them, even when they have not completed their sentences.</w:t>
      </w:r>
    </w:p>
    <w:p w14:paraId="7CB83C99" w14:textId="1A247E1C" w:rsidR="001A3CF6" w:rsidRPr="000919FC" w:rsidRDefault="001A3CF6" w:rsidP="007924C2">
      <w:pPr>
        <w:pStyle w:val="SingleTxtG"/>
        <w:ind w:left="0"/>
        <w:rPr>
          <w:rFonts w:eastAsia="Arial Unicode MS"/>
          <w:b/>
          <w:color w:val="000000"/>
          <w:u w:color="000000"/>
        </w:rPr>
      </w:pPr>
      <w:r>
        <w:rPr>
          <w:rFonts w:eastAsia="Arial Unicode MS" w:hAnsi="Arial Unicode MS"/>
          <w:color w:val="000000"/>
          <w:u w:color="000000"/>
        </w:rPr>
        <w:t xml:space="preserve"> </w:t>
      </w:r>
      <w:r w:rsidRPr="009E1C12">
        <w:rPr>
          <w:rFonts w:asciiTheme="majorBidi" w:hAnsiTheme="majorBidi" w:cstheme="majorBidi"/>
          <w:i/>
        </w:rPr>
        <w:t>Id.</w:t>
      </w:r>
      <w:r w:rsidRPr="00FF3EB3">
        <w:rPr>
          <w:rFonts w:asciiTheme="majorBidi" w:hAnsiTheme="majorBidi" w:cstheme="majorBidi"/>
          <w:i/>
        </w:rPr>
        <w:t>,</w:t>
      </w:r>
      <w:r w:rsidRPr="009E1C12">
        <w:rPr>
          <w:rFonts w:asciiTheme="majorBidi" w:hAnsiTheme="majorBidi" w:cstheme="majorBidi"/>
        </w:rPr>
        <w:t xml:space="preserve"> </w:t>
      </w:r>
      <w:r>
        <w:rPr>
          <w:rFonts w:asciiTheme="majorBidi" w:hAnsiTheme="majorBidi" w:cstheme="majorBidi"/>
        </w:rPr>
        <w:t xml:space="preserve">at </w:t>
      </w:r>
      <w:r w:rsidRPr="009E1C12">
        <w:rPr>
          <w:rFonts w:asciiTheme="majorBidi" w:hAnsiTheme="majorBidi" w:cstheme="majorBidi"/>
        </w:rPr>
        <w:t>para</w:t>
      </w:r>
      <w:r w:rsidRPr="00FF3EB3">
        <w:rPr>
          <w:rFonts w:asciiTheme="majorBidi" w:hAnsiTheme="majorBidi" w:cstheme="majorBidi"/>
        </w:rPr>
        <w:t>.</w:t>
      </w:r>
      <w:r w:rsidRPr="009E1C12">
        <w:rPr>
          <w:rFonts w:asciiTheme="majorBidi" w:hAnsiTheme="majorBidi" w:cstheme="majorBidi"/>
        </w:rPr>
        <w:t xml:space="preserve"> 72.</w:t>
      </w:r>
    </w:p>
    <w:p w14:paraId="33159714" w14:textId="1D03A183" w:rsidR="001A3CF6" w:rsidRPr="009E1C12" w:rsidRDefault="001A3CF6" w:rsidP="007E5F2A">
      <w:pPr>
        <w:pStyle w:val="FootnoteText"/>
        <w:rPr>
          <w:rFonts w:asciiTheme="majorBidi" w:hAnsiTheme="majorBidi" w:cstheme="majorBidi"/>
        </w:rPr>
      </w:pPr>
    </w:p>
  </w:footnote>
  <w:footnote w:id="145">
    <w:p w14:paraId="74AFB649" w14:textId="66F7922D" w:rsidR="001A3CF6" w:rsidRPr="009E1C12" w:rsidRDefault="001A3CF6" w:rsidP="00BE70AA">
      <w:pPr>
        <w:pStyle w:val="FootnoteText"/>
        <w:rPr>
          <w:rFonts w:asciiTheme="majorBidi" w:hAnsiTheme="majorBidi" w:cstheme="majorBidi"/>
          <w:b/>
        </w:rPr>
      </w:pPr>
      <w:r w:rsidRPr="009E1C12">
        <w:rPr>
          <w:rStyle w:val="FootnoteReference"/>
          <w:rFonts w:asciiTheme="majorBidi" w:hAnsiTheme="majorBidi" w:cstheme="majorBidi"/>
        </w:rPr>
        <w:footnoteRef/>
      </w:r>
      <w:r w:rsidRPr="00FF3EB3">
        <w:rPr>
          <w:rFonts w:asciiTheme="majorBidi" w:hAnsiTheme="majorBidi" w:cstheme="majorBidi"/>
        </w:rPr>
        <w:t xml:space="preserve"> UN</w:t>
      </w:r>
      <w:r w:rsidRPr="009E1C12">
        <w:rPr>
          <w:rFonts w:asciiTheme="majorBidi" w:hAnsiTheme="majorBidi" w:cstheme="majorBidi"/>
        </w:rPr>
        <w:t xml:space="preserve"> Committee on the Rights of the Child, General Comment 13 (2011)</w:t>
      </w:r>
      <w:r w:rsidRPr="00FF3EB3">
        <w:rPr>
          <w:rFonts w:asciiTheme="majorBidi" w:hAnsiTheme="majorBidi" w:cstheme="majorBidi"/>
        </w:rPr>
        <w:t>: The right of the child to freedom from all forms of violence</w:t>
      </w:r>
      <w:r w:rsidRPr="009E1C12">
        <w:rPr>
          <w:rFonts w:asciiTheme="majorBidi" w:hAnsiTheme="majorBidi" w:cstheme="majorBidi"/>
        </w:rPr>
        <w:t>,</w:t>
      </w:r>
      <w:r w:rsidRPr="00FF3EB3">
        <w:rPr>
          <w:rFonts w:asciiTheme="majorBidi" w:hAnsiTheme="majorBidi" w:cstheme="majorBidi"/>
        </w:rPr>
        <w:t xml:space="preserve"> April 18, 2011</w:t>
      </w:r>
      <w:r w:rsidRPr="009E1C12">
        <w:rPr>
          <w:rFonts w:asciiTheme="majorBidi" w:hAnsiTheme="majorBidi" w:cstheme="majorBidi"/>
        </w:rPr>
        <w:t xml:space="preserve"> CRC/C/GC/13, para. 61</w:t>
      </w:r>
      <w:r w:rsidRPr="00FF3EB3">
        <w:rPr>
          <w:rFonts w:asciiTheme="majorBidi" w:hAnsiTheme="majorBidi" w:cstheme="majorBidi"/>
        </w:rPr>
        <w:t>.</w:t>
      </w:r>
    </w:p>
  </w:footnote>
  <w:footnote w:id="146">
    <w:p w14:paraId="1DDD12EA" w14:textId="69410CE0"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Pr>
          <w:rFonts w:asciiTheme="majorBidi" w:hAnsiTheme="majorBidi" w:cstheme="majorBidi"/>
        </w:rPr>
        <w:t xml:space="preserve"> DRI Romania Report</w:t>
      </w:r>
      <w:r w:rsidRPr="009E1C12">
        <w:rPr>
          <w:rFonts w:asciiTheme="majorBidi" w:hAnsiTheme="majorBidi" w:cstheme="majorBidi"/>
        </w:rPr>
        <w:t xml:space="preserve">, </w:t>
      </w:r>
      <w:r w:rsidRPr="00774115">
        <w:rPr>
          <w:rFonts w:asciiTheme="majorBidi" w:hAnsiTheme="majorBidi" w:cstheme="majorBidi"/>
          <w:i/>
        </w:rPr>
        <w:t xml:space="preserve">supra </w:t>
      </w:r>
      <w:r w:rsidRPr="00B57B6A">
        <w:rPr>
          <w:rFonts w:asciiTheme="majorBidi" w:hAnsiTheme="majorBidi" w:cstheme="majorBidi"/>
        </w:rPr>
        <w:t xml:space="preserve">note </w:t>
      </w:r>
      <w:r w:rsidRPr="00B57B6A">
        <w:rPr>
          <w:rFonts w:asciiTheme="majorBidi" w:hAnsiTheme="majorBidi" w:cstheme="majorBidi"/>
        </w:rPr>
        <w:fldChar w:fldCharType="begin"/>
      </w:r>
      <w:r w:rsidRPr="00B57B6A">
        <w:rPr>
          <w:rFonts w:asciiTheme="majorBidi" w:hAnsiTheme="majorBidi" w:cstheme="majorBidi"/>
        </w:rPr>
        <w:instrText xml:space="preserve"> NOTEREF _Ref464126924 \h  \* MERGEFORMAT </w:instrText>
      </w:r>
      <w:r w:rsidRPr="00B57B6A">
        <w:rPr>
          <w:rFonts w:asciiTheme="majorBidi" w:hAnsiTheme="majorBidi" w:cstheme="majorBidi"/>
        </w:rPr>
      </w:r>
      <w:r w:rsidRPr="00B57B6A">
        <w:rPr>
          <w:rFonts w:asciiTheme="majorBidi" w:hAnsiTheme="majorBidi" w:cstheme="majorBidi"/>
        </w:rPr>
        <w:fldChar w:fldCharType="separate"/>
      </w:r>
      <w:r>
        <w:rPr>
          <w:rFonts w:asciiTheme="majorBidi" w:hAnsiTheme="majorBidi" w:cstheme="majorBidi"/>
        </w:rPr>
        <w:t>44</w:t>
      </w:r>
      <w:r w:rsidRPr="00B57B6A">
        <w:rPr>
          <w:rFonts w:asciiTheme="majorBidi" w:hAnsiTheme="majorBidi" w:cstheme="majorBidi"/>
        </w:rPr>
        <w:fldChar w:fldCharType="end"/>
      </w:r>
      <w:r w:rsidRPr="00774115">
        <w:rPr>
          <w:rFonts w:asciiTheme="majorBidi" w:hAnsiTheme="majorBidi" w:cstheme="majorBidi"/>
        </w:rPr>
        <w:t xml:space="preserve"> at</w:t>
      </w:r>
      <w:r w:rsidRPr="00995CDC">
        <w:rPr>
          <w:rFonts w:asciiTheme="majorBidi" w:hAnsiTheme="majorBidi" w:cstheme="majorBidi"/>
        </w:rPr>
        <w:t xml:space="preserve"> 21. Dana Johnson, MD, PhD, is Professor of Pediatrics in the Division of Neonatology at the University of Minnesota</w:t>
      </w:r>
      <w:r w:rsidRPr="009E1C12">
        <w:rPr>
          <w:rFonts w:asciiTheme="majorBidi" w:hAnsiTheme="majorBidi" w:cstheme="majorBidi"/>
        </w:rPr>
        <w:t>.</w:t>
      </w:r>
    </w:p>
  </w:footnote>
  <w:footnote w:id="147">
    <w:p w14:paraId="50B3EFA7" w14:textId="359568F2" w:rsidR="001A3CF6" w:rsidRPr="009E1C12"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Apart from short-term acute care, DRI investigations have not found meaningful treatments or programs provided in institutions that are not or could not be provided for in the community.  Indeed, there is little treatment other than medication and no habilitation or rehabilitation provided in many facilities.  </w:t>
      </w:r>
      <w:r w:rsidRPr="009E1C12">
        <w:rPr>
          <w:rFonts w:asciiTheme="majorBidi" w:hAnsiTheme="majorBidi" w:cstheme="majorBidi"/>
          <w:i/>
        </w:rPr>
        <w:t>See</w:t>
      </w:r>
      <w:r w:rsidRPr="00FF3EB3">
        <w:rPr>
          <w:rFonts w:asciiTheme="majorBidi" w:hAnsiTheme="majorBidi" w:cstheme="majorBidi"/>
          <w:i/>
        </w:rPr>
        <w:t>,</w:t>
      </w:r>
      <w:r w:rsidRPr="009E1C12">
        <w:rPr>
          <w:rFonts w:asciiTheme="majorBidi" w:hAnsiTheme="majorBidi" w:cstheme="majorBidi"/>
        </w:rPr>
        <w:t xml:space="preserve"> DRI reports at www.DRIadvocacy.org.</w:t>
      </w:r>
    </w:p>
  </w:footnote>
  <w:footnote w:id="148">
    <w:p w14:paraId="733FFA53" w14:textId="3ED1ABBF" w:rsidR="001A3CF6" w:rsidRPr="009E1C12" w:rsidRDefault="001A3CF6" w:rsidP="007C6B75">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Disability Rights International</w:t>
      </w:r>
      <w:r w:rsidRPr="009E1C12">
        <w:rPr>
          <w:rFonts w:asciiTheme="majorBidi" w:hAnsiTheme="majorBidi" w:cstheme="majorBidi"/>
        </w:rPr>
        <w:t xml:space="preserve">, </w:t>
      </w:r>
      <w:r w:rsidRPr="009E1C12">
        <w:rPr>
          <w:rFonts w:asciiTheme="majorBidi" w:hAnsiTheme="majorBidi" w:cstheme="majorBidi"/>
          <w:smallCaps/>
        </w:rPr>
        <w:t>No Way Home: The Exploitation and Abuse of Children in Ukraine’s Orphanages</w:t>
      </w:r>
      <w:r w:rsidRPr="009E1C12">
        <w:rPr>
          <w:rFonts w:asciiTheme="majorBidi" w:hAnsiTheme="majorBidi" w:cstheme="majorBidi"/>
        </w:rPr>
        <w:t>, (2015)</w:t>
      </w:r>
      <w:r w:rsidRPr="00FF3EB3">
        <w:rPr>
          <w:rFonts w:asciiTheme="majorBidi" w:hAnsiTheme="majorBidi" w:cstheme="majorBidi"/>
        </w:rPr>
        <w:t xml:space="preserve"> 21</w:t>
      </w:r>
      <w:r>
        <w:rPr>
          <w:rFonts w:asciiTheme="majorBidi" w:hAnsiTheme="majorBidi" w:cstheme="majorBidi"/>
        </w:rPr>
        <w:t xml:space="preserve"> [hereinafter DRI Ukraine Report]</w:t>
      </w:r>
      <w:r w:rsidRPr="009E1C12">
        <w:rPr>
          <w:rFonts w:asciiTheme="majorBidi" w:hAnsiTheme="majorBidi" w:cstheme="majorBidi"/>
        </w:rPr>
        <w:t>.  Following the publication of the DRI report, the World Bank revised its program.</w:t>
      </w:r>
    </w:p>
  </w:footnote>
  <w:footnote w:id="149">
    <w:p w14:paraId="273F1A4E" w14:textId="717A50AF" w:rsidR="001A3CF6" w:rsidRPr="009E1C12" w:rsidRDefault="001A3CF6" w:rsidP="007C6B75">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B57B6A">
        <w:rPr>
          <w:rFonts w:asciiTheme="majorBidi" w:hAnsiTheme="majorBidi" w:cstheme="majorBidi"/>
        </w:rPr>
        <w:t>See</w:t>
      </w:r>
      <w:r>
        <w:rPr>
          <w:rFonts w:asciiTheme="majorBidi" w:hAnsiTheme="majorBidi" w:cstheme="majorBidi"/>
        </w:rPr>
        <w:t xml:space="preserve"> </w:t>
      </w:r>
      <w:r w:rsidRPr="00B57B6A">
        <w:rPr>
          <w:rFonts w:asciiTheme="majorBidi" w:hAnsiTheme="majorBidi" w:cstheme="majorBidi"/>
          <w:i/>
        </w:rPr>
        <w:t>supra</w:t>
      </w:r>
      <w:r w:rsidRPr="009E1C12">
        <w:rPr>
          <w:rFonts w:asciiTheme="majorBidi" w:hAnsiTheme="majorBidi" w:cstheme="majorBidi"/>
        </w:rPr>
        <w:t xml:space="preserve"> </w:t>
      </w:r>
      <w:r>
        <w:rPr>
          <w:rFonts w:asciiTheme="majorBidi" w:hAnsiTheme="majorBidi" w:cstheme="majorBidi"/>
        </w:rPr>
        <w:t xml:space="preserve">notes 70-73 and accompanying text. </w:t>
      </w:r>
    </w:p>
  </w:footnote>
  <w:footnote w:id="150">
    <w:p w14:paraId="1152BE6D" w14:textId="72B7062E"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Pr>
          <w:rFonts w:asciiTheme="majorBidi" w:hAnsiTheme="majorBidi" w:cstheme="majorBidi"/>
        </w:rPr>
        <w:t xml:space="preserve"> </w:t>
      </w:r>
      <w:r w:rsidRPr="009E1C12">
        <w:rPr>
          <w:rFonts w:asciiTheme="majorBidi" w:hAnsiTheme="majorBidi" w:cstheme="majorBidi"/>
        </w:rPr>
        <w:t>Karen Green McGowan, personal correspondence with the author, October 5, 2016.</w:t>
      </w:r>
    </w:p>
  </w:footnote>
  <w:footnote w:id="151">
    <w:p w14:paraId="7C167DE0" w14:textId="323B9CEF" w:rsidR="001A3CF6" w:rsidRPr="009E1C12" w:rsidRDefault="001A3CF6" w:rsidP="00B92E3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General Comment No. 9</w:t>
      </w:r>
      <w:r w:rsidRPr="009E1C12">
        <w:rPr>
          <w:rFonts w:asciiTheme="majorBidi" w:hAnsiTheme="majorBidi" w:cstheme="majorBidi"/>
        </w:rPr>
        <w:t>,</w:t>
      </w:r>
      <w:r w:rsidRPr="00FF3EB3">
        <w:rPr>
          <w:rFonts w:asciiTheme="majorBidi" w:hAnsiTheme="majorBidi" w:cstheme="majorBidi"/>
        </w:rPr>
        <w:t xml:space="preserve"> </w:t>
      </w:r>
      <w:r w:rsidRPr="00A63A14">
        <w:rPr>
          <w:rFonts w:asciiTheme="majorBidi" w:hAnsiTheme="majorBidi" w:cstheme="majorBidi"/>
          <w:i/>
          <w:iCs/>
        </w:rPr>
        <w:t>supra</w:t>
      </w:r>
      <w:r w:rsidRPr="00FF2CB2">
        <w:rPr>
          <w:rFonts w:asciiTheme="majorBidi" w:hAnsiTheme="majorBidi" w:cstheme="majorBidi"/>
        </w:rPr>
        <w:t xml:space="preserve">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_Ref471736308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rsidRPr="00A63A14">
        <w:rPr>
          <w:rFonts w:asciiTheme="majorBidi" w:hAnsiTheme="majorBidi" w:cstheme="majorBidi"/>
        </w:rPr>
        <w:t>,</w:t>
      </w:r>
      <w:r w:rsidRPr="00FF2CB2">
        <w:rPr>
          <w:rFonts w:asciiTheme="majorBidi" w:hAnsiTheme="majorBidi" w:cstheme="majorBidi"/>
        </w:rPr>
        <w:t xml:space="preserve"> para</w:t>
      </w:r>
      <w:r w:rsidRPr="009E1C12">
        <w:rPr>
          <w:rFonts w:asciiTheme="majorBidi" w:hAnsiTheme="majorBidi" w:cstheme="majorBidi"/>
        </w:rPr>
        <w:t>. 49.</w:t>
      </w:r>
    </w:p>
  </w:footnote>
  <w:footnote w:id="152">
    <w:p w14:paraId="579B966E" w14:textId="5A9D97AD" w:rsidR="001A3CF6" w:rsidRPr="009E1C12" w:rsidRDefault="001A3CF6" w:rsidP="00EC2E2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B57B6A">
        <w:rPr>
          <w:rFonts w:asciiTheme="majorBidi" w:hAnsiTheme="majorBidi" w:cstheme="majorBidi"/>
          <w:i/>
        </w:rPr>
        <w:t>See</w:t>
      </w:r>
      <w:r w:rsidRPr="009E1C12">
        <w:rPr>
          <w:rFonts w:asciiTheme="majorBidi" w:hAnsiTheme="majorBidi" w:cstheme="majorBidi"/>
        </w:rPr>
        <w:t>,</w:t>
      </w:r>
      <w:r>
        <w:rPr>
          <w:rFonts w:asciiTheme="majorBidi" w:hAnsiTheme="majorBidi" w:cstheme="majorBidi"/>
        </w:rPr>
        <w:t xml:space="preserve"> </w:t>
      </w:r>
      <w:r w:rsidRPr="00A63A14">
        <w:rPr>
          <w:rFonts w:asciiTheme="majorBidi" w:hAnsiTheme="majorBidi" w:cstheme="majorBidi"/>
        </w:rPr>
        <w:t xml:space="preserve">Kanter (2015) </w:t>
      </w:r>
      <w:r w:rsidRPr="00A63A14">
        <w:rPr>
          <w:rFonts w:asciiTheme="majorBidi" w:hAnsiTheme="majorBidi" w:cstheme="majorBidi"/>
          <w:i/>
        </w:rPr>
        <w:t>supra</w:t>
      </w:r>
      <w:r w:rsidRPr="00A63A14">
        <w:rPr>
          <w:rFonts w:asciiTheme="majorBidi" w:hAnsiTheme="majorBidi" w:cstheme="majorBidi"/>
        </w:rPr>
        <w:t xml:space="preserve"> </w:t>
      </w:r>
      <w:r w:rsidRPr="00B57B6A">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_Ref340434192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126</w:t>
      </w:r>
      <w:r>
        <w:rPr>
          <w:rFonts w:asciiTheme="majorBidi" w:hAnsiTheme="majorBidi" w:cstheme="majorBidi"/>
        </w:rPr>
        <w:fldChar w:fldCharType="end"/>
      </w:r>
      <w:r w:rsidRPr="00A63A14">
        <w:rPr>
          <w:rFonts w:asciiTheme="majorBidi" w:hAnsiTheme="majorBidi" w:cstheme="majorBidi"/>
        </w:rPr>
        <w:t xml:space="preserve"> at 64-80 (reviewing the development of the right to community integration and the evolvin</w:t>
      </w:r>
      <w:r w:rsidRPr="009E1C12">
        <w:rPr>
          <w:rFonts w:asciiTheme="majorBidi" w:hAnsiTheme="majorBidi" w:cstheme="majorBidi"/>
        </w:rPr>
        <w:t>g “meaning of a h</w:t>
      </w:r>
      <w:r>
        <w:rPr>
          <w:rFonts w:asciiTheme="majorBidi" w:hAnsiTheme="majorBidi" w:cstheme="majorBidi"/>
        </w:rPr>
        <w:t>o</w:t>
      </w:r>
      <w:r w:rsidRPr="009E1C12">
        <w:rPr>
          <w:rFonts w:asciiTheme="majorBidi" w:hAnsiTheme="majorBidi" w:cstheme="majorBidi"/>
        </w:rPr>
        <w:t>me</w:t>
      </w:r>
      <w:r>
        <w:rPr>
          <w:rFonts w:asciiTheme="majorBidi" w:hAnsiTheme="majorBidi" w:cstheme="majorBidi"/>
        </w:rPr>
        <w:t>,</w:t>
      </w:r>
      <w:r w:rsidRPr="009E1C12">
        <w:rPr>
          <w:rFonts w:asciiTheme="majorBidi" w:hAnsiTheme="majorBidi" w:cstheme="majorBidi"/>
        </w:rPr>
        <w:t>”</w:t>
      </w:r>
      <w:r>
        <w:rPr>
          <w:rFonts w:asciiTheme="majorBidi" w:hAnsiTheme="majorBidi" w:cstheme="majorBidi"/>
        </w:rPr>
        <w:t xml:space="preserve"> discussing </w:t>
      </w:r>
      <w:r w:rsidRPr="003B0EA3">
        <w:rPr>
          <w:rFonts w:asciiTheme="majorBidi" w:hAnsiTheme="majorBidi" w:cstheme="majorBidi"/>
        </w:rPr>
        <w:t>t</w:t>
      </w:r>
      <w:r w:rsidRPr="00B57B6A">
        <w:rPr>
          <w:rFonts w:asciiTheme="majorBidi" w:hAnsiTheme="majorBidi" w:cstheme="majorBidi"/>
          <w:iCs/>
        </w:rPr>
        <w:t>he right to live in the community for people with disabilities under Article 19</w:t>
      </w:r>
      <w:r w:rsidRPr="003B0EA3">
        <w:rPr>
          <w:rFonts w:asciiTheme="majorBidi" w:hAnsiTheme="majorBidi" w:cstheme="majorBidi"/>
        </w:rPr>
        <w:t>).</w:t>
      </w:r>
      <w:r w:rsidRPr="009E1C12">
        <w:rPr>
          <w:rFonts w:asciiTheme="majorBidi" w:hAnsiTheme="majorBidi" w:cstheme="majorBidi"/>
        </w:rPr>
        <w:t xml:space="preserve">  </w:t>
      </w:r>
      <w:r w:rsidRPr="009E1C12">
        <w:rPr>
          <w:rFonts w:asciiTheme="majorBidi" w:hAnsiTheme="majorBidi" w:cstheme="majorBidi"/>
          <w:i/>
        </w:rPr>
        <w:t>See also</w:t>
      </w:r>
      <w:r w:rsidRPr="009E1C12">
        <w:rPr>
          <w:rFonts w:asciiTheme="majorBidi" w:hAnsiTheme="majorBidi" w:cstheme="majorBidi"/>
        </w:rPr>
        <w:t xml:space="preserve"> Arlene Kanter, </w:t>
      </w:r>
      <w:r w:rsidRPr="009E1C12">
        <w:rPr>
          <w:rFonts w:asciiTheme="majorBidi" w:hAnsiTheme="majorBidi" w:cstheme="majorBidi"/>
          <w:i/>
          <w:iCs/>
        </w:rPr>
        <w:t>A Home of One’s Own: The Fair Housing Amendments Act of 1988 and Housing Discrimination Against People with Mental Disabilities</w:t>
      </w:r>
      <w:r w:rsidRPr="009E1C12">
        <w:rPr>
          <w:rFonts w:asciiTheme="majorBidi" w:hAnsiTheme="majorBidi" w:cstheme="majorBidi"/>
        </w:rPr>
        <w:t>, 43 The American University Law Review 925, 932 (1994)</w:t>
      </w:r>
      <w:r>
        <w:rPr>
          <w:rFonts w:asciiTheme="majorBidi" w:hAnsiTheme="majorBidi" w:cstheme="majorBidi"/>
        </w:rPr>
        <w:t xml:space="preserve"> [hereinafter “A Home of One’s Own”].</w:t>
      </w:r>
    </w:p>
  </w:footnote>
  <w:footnote w:id="153">
    <w:p w14:paraId="13413923" w14:textId="0DA4B342" w:rsidR="001A3CF6" w:rsidRPr="009E1C12" w:rsidRDefault="001A3CF6" w:rsidP="006D7294">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James Conroy and Valerie Bradley, </w:t>
      </w:r>
      <w:r w:rsidRPr="009E1C12">
        <w:rPr>
          <w:rFonts w:asciiTheme="majorBidi" w:eastAsia="Cambria" w:hAnsiTheme="majorBidi" w:cstheme="majorBidi"/>
          <w:smallCaps/>
        </w:rPr>
        <w:t>The Pennhurst Longitudinal Study: A Report of Five Years of Research and Analysis</w:t>
      </w:r>
      <w:r w:rsidRPr="009E1C12">
        <w:rPr>
          <w:rFonts w:asciiTheme="majorBidi" w:hAnsiTheme="majorBidi" w:cstheme="majorBidi"/>
        </w:rPr>
        <w:t xml:space="preserve">, </w:t>
      </w:r>
      <w:r w:rsidRPr="00FF3EB3">
        <w:rPr>
          <w:rFonts w:asciiTheme="majorBidi" w:hAnsiTheme="majorBidi" w:cstheme="majorBidi"/>
        </w:rPr>
        <w:t>(</w:t>
      </w:r>
      <w:r w:rsidRPr="009E1C12">
        <w:rPr>
          <w:rFonts w:asciiTheme="majorBidi" w:hAnsiTheme="majorBidi" w:cstheme="majorBidi"/>
        </w:rPr>
        <w:t>Office of the Assistant Secretary for Planning and Evaluation, US Department of Health and Human Services, 1985</w:t>
      </w:r>
      <w:r w:rsidRPr="00FF3EB3">
        <w:rPr>
          <w:rFonts w:asciiTheme="majorBidi" w:hAnsiTheme="majorBidi" w:cstheme="majorBidi"/>
        </w:rPr>
        <w:t>)</w:t>
      </w:r>
      <w:r w:rsidRPr="009E1C12">
        <w:rPr>
          <w:rFonts w:asciiTheme="majorBidi" w:hAnsiTheme="majorBidi" w:cstheme="majorBidi"/>
        </w:rPr>
        <w:t xml:space="preserve">. Available at </w:t>
      </w:r>
      <w:hyperlink r:id="rId18" w:history="1">
        <w:r w:rsidRPr="009E1C12">
          <w:rPr>
            <w:rStyle w:val="Hyperlink"/>
            <w:rFonts w:asciiTheme="majorBidi" w:hAnsiTheme="majorBidi" w:cstheme="majorBidi"/>
          </w:rPr>
          <w:t>https://aspe.hhs.gov/pdf-report/pennhurst-longitudinal-study-combined-report-five-years-research-and-analysis</w:t>
        </w:r>
      </w:hyperlink>
      <w:r w:rsidRPr="009E1C12">
        <w:rPr>
          <w:rFonts w:asciiTheme="majorBidi" w:hAnsiTheme="majorBidi" w:cstheme="majorBidi"/>
        </w:rPr>
        <w:t xml:space="preserve"> (last accessed October 13, 2016). On page 198, the study states: “Our preliminary findings indicate that the degree of normalization of a community setting makes a difference, with people in more normalized settings making more progress. We also find evidence that size makes a difference, with people in smaller settings doing slightly better (even though the size of the settings only ranges from 1 to 8 people).”</w:t>
      </w:r>
    </w:p>
  </w:footnote>
  <w:footnote w:id="154">
    <w:p w14:paraId="06E6E1AA" w14:textId="4373D684" w:rsidR="001A3CF6" w:rsidRPr="00D853A7" w:rsidRDefault="001A3CF6" w:rsidP="00D853A7">
      <w:pPr>
        <w:pStyle w:val="NormalWeb"/>
        <w:spacing w:before="2" w:after="2"/>
      </w:pPr>
      <w:r w:rsidRPr="00C97AC7">
        <w:rPr>
          <w:rStyle w:val="FootnoteReference"/>
          <w:rFonts w:asciiTheme="majorBidi" w:hAnsiTheme="majorBidi" w:cstheme="majorBidi"/>
        </w:rPr>
        <w:footnoteRef/>
      </w:r>
      <w:r w:rsidRPr="008162F6">
        <w:rPr>
          <w:rFonts w:asciiTheme="majorBidi" w:hAnsiTheme="majorBidi" w:cstheme="majorBidi"/>
        </w:rPr>
        <w:t xml:space="preserve"> </w:t>
      </w:r>
      <w:r>
        <w:rPr>
          <w:rFonts w:asciiTheme="majorBidi" w:hAnsiTheme="majorBidi" w:cstheme="majorBidi"/>
        </w:rPr>
        <w:t>A Home of One’s Own</w:t>
      </w:r>
      <w:r>
        <w:rPr>
          <w:rFonts w:ascii="Times New Roman" w:hAnsi="Times New Roman"/>
          <w:sz w:val="16"/>
          <w:szCs w:val="16"/>
          <w:lang w:val="en-US" w:eastAsia="en-US"/>
        </w:rPr>
        <w:t>, 932.</w:t>
      </w:r>
    </w:p>
  </w:footnote>
  <w:footnote w:id="155">
    <w:p w14:paraId="626BF938" w14:textId="4D7615AA" w:rsidR="001A3CF6" w:rsidRPr="008162F6" w:rsidRDefault="001A3CF6" w:rsidP="00240737">
      <w:pPr>
        <w:pStyle w:val="FootnoteText"/>
        <w:rPr>
          <w:rFonts w:asciiTheme="majorBidi" w:hAnsiTheme="majorBidi" w:cstheme="majorBidi"/>
        </w:rPr>
      </w:pPr>
      <w:r w:rsidRPr="00100B2B">
        <w:rPr>
          <w:rStyle w:val="FootnoteReference"/>
          <w:rFonts w:asciiTheme="majorBidi" w:hAnsiTheme="majorBidi" w:cstheme="majorBidi"/>
        </w:rPr>
        <w:footnoteRef/>
      </w:r>
      <w:r w:rsidRPr="009E2845">
        <w:rPr>
          <w:rFonts w:asciiTheme="majorBidi" w:hAnsiTheme="majorBidi" w:cstheme="majorBidi"/>
        </w:rPr>
        <w:t xml:space="preserve"> Dozier </w:t>
      </w:r>
      <w:r w:rsidRPr="009E2845">
        <w:rPr>
          <w:rFonts w:asciiTheme="majorBidi" w:hAnsiTheme="majorBidi" w:cstheme="majorBidi"/>
          <w:i/>
        </w:rPr>
        <w:t xml:space="preserve">et. </w:t>
      </w:r>
      <w:r w:rsidRPr="00524D70">
        <w:rPr>
          <w:rFonts w:asciiTheme="majorBidi" w:hAnsiTheme="majorBidi" w:cstheme="majorBidi"/>
          <w:i/>
        </w:rPr>
        <w:t>al.</w:t>
      </w:r>
      <w:r w:rsidRPr="00542426">
        <w:rPr>
          <w:rFonts w:asciiTheme="majorBidi" w:hAnsiTheme="majorBidi" w:cstheme="majorBidi"/>
          <w:i/>
        </w:rPr>
        <w:t>,</w:t>
      </w:r>
      <w:r w:rsidRPr="005030A9">
        <w:rPr>
          <w:rFonts w:asciiTheme="majorBidi" w:hAnsiTheme="majorBidi" w:cstheme="majorBidi"/>
          <w:i/>
        </w:rPr>
        <w:t xml:space="preserve"> </w:t>
      </w:r>
      <w:r w:rsidRPr="00B57B6A">
        <w:rPr>
          <w:rFonts w:asciiTheme="majorBidi" w:hAnsiTheme="majorBidi" w:cstheme="majorBidi"/>
          <w:i/>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_Ref464124738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61</w:t>
      </w:r>
      <w:r>
        <w:rPr>
          <w:rFonts w:asciiTheme="majorBidi" w:hAnsiTheme="majorBidi" w:cstheme="majorBidi"/>
        </w:rPr>
        <w:fldChar w:fldCharType="end"/>
      </w:r>
      <w:r w:rsidRPr="00B57B6A">
        <w:rPr>
          <w:rFonts w:asciiTheme="majorBidi" w:hAnsiTheme="majorBidi" w:cstheme="majorBidi"/>
        </w:rPr>
        <w:t>,</w:t>
      </w:r>
      <w:r w:rsidRPr="00C97AC7">
        <w:rPr>
          <w:rFonts w:asciiTheme="majorBidi" w:hAnsiTheme="majorBidi" w:cstheme="majorBidi"/>
        </w:rPr>
        <w:t xml:space="preserve"> at 220.</w:t>
      </w:r>
    </w:p>
  </w:footnote>
  <w:footnote w:id="156">
    <w:p w14:paraId="6344B79A" w14:textId="77777777" w:rsidR="001A3CF6" w:rsidRPr="009E1C12" w:rsidRDefault="001A3CF6" w:rsidP="00240737">
      <w:pPr>
        <w:pStyle w:val="FootnoteText"/>
        <w:rPr>
          <w:rFonts w:asciiTheme="majorBidi" w:hAnsiTheme="majorBidi" w:cstheme="majorBidi"/>
          <w:i/>
        </w:rPr>
      </w:pPr>
      <w:r w:rsidRPr="00C97AC7">
        <w:rPr>
          <w:rStyle w:val="FootnoteReference"/>
          <w:rFonts w:asciiTheme="majorBidi" w:hAnsiTheme="majorBidi" w:cstheme="majorBidi"/>
        </w:rPr>
        <w:footnoteRef/>
      </w:r>
      <w:r w:rsidRPr="00C97AC7">
        <w:rPr>
          <w:rFonts w:asciiTheme="majorBidi" w:hAnsiTheme="majorBidi" w:cstheme="majorBidi"/>
        </w:rPr>
        <w:t xml:space="preserve"> </w:t>
      </w:r>
      <w:r w:rsidRPr="00C97AC7">
        <w:rPr>
          <w:rFonts w:asciiTheme="majorBidi" w:hAnsiTheme="majorBidi" w:cstheme="majorBidi"/>
          <w:i/>
        </w:rPr>
        <w:t>Id.</w:t>
      </w:r>
    </w:p>
  </w:footnote>
  <w:footnote w:id="157">
    <w:p w14:paraId="411A3A84" w14:textId="32958055" w:rsidR="001A3CF6" w:rsidRPr="009E1C12" w:rsidRDefault="001A3CF6" w:rsidP="0088122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i/>
        </w:rPr>
        <w:t xml:space="preserve"> </w:t>
      </w:r>
      <w:r w:rsidRPr="00B57B6A">
        <w:rPr>
          <w:rFonts w:asciiTheme="majorBidi" w:hAnsiTheme="majorBidi" w:cstheme="majorBidi"/>
        </w:rPr>
        <w:t>at</w:t>
      </w:r>
      <w:r w:rsidRPr="009E1C12">
        <w:rPr>
          <w:rFonts w:asciiTheme="majorBidi" w:hAnsiTheme="majorBidi" w:cstheme="majorBidi"/>
        </w:rPr>
        <w:t xml:space="preserve"> 221. </w:t>
      </w:r>
    </w:p>
  </w:footnote>
  <w:footnote w:id="158">
    <w:p w14:paraId="49712EC4" w14:textId="5999910A" w:rsidR="001A3CF6" w:rsidRPr="009E1C12" w:rsidRDefault="001A3CF6">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p>
  </w:footnote>
  <w:footnote w:id="159">
    <w:p w14:paraId="045A5754" w14:textId="2C691BD1" w:rsidR="001A3CF6" w:rsidRPr="009E1C12" w:rsidRDefault="001A3CF6" w:rsidP="00240737">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rPr>
        <w:t xml:space="preserve"> at</w:t>
      </w:r>
      <w:r w:rsidRPr="009E1C12">
        <w:rPr>
          <w:rFonts w:asciiTheme="majorBidi" w:hAnsiTheme="majorBidi" w:cstheme="majorBidi"/>
        </w:rPr>
        <w:t xml:space="preserve"> 222.</w:t>
      </w:r>
    </w:p>
  </w:footnote>
  <w:footnote w:id="160">
    <w:p w14:paraId="18D4EF7C" w14:textId="575CD9B8" w:rsidR="001A3CF6" w:rsidRPr="009E1C12" w:rsidRDefault="001A3CF6" w:rsidP="00240737">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Save the Children (2009), </w:t>
      </w:r>
      <w:r w:rsidRPr="00474D22">
        <w:rPr>
          <w:rFonts w:asciiTheme="majorBidi" w:hAnsiTheme="majorBidi" w:cstheme="majorBidi"/>
          <w:i/>
        </w:rPr>
        <w:t>supra</w:t>
      </w:r>
      <w:r w:rsidRPr="00474D22">
        <w:rPr>
          <w:rFonts w:asciiTheme="majorBidi" w:hAnsiTheme="majorBidi" w:cstheme="majorBidi"/>
        </w:rPr>
        <w:t xml:space="preserve"> </w:t>
      </w:r>
      <w:r w:rsidRPr="00B57B6A">
        <w:rPr>
          <w:rFonts w:asciiTheme="majorBidi" w:hAnsiTheme="majorBidi" w:cstheme="majorBidi"/>
        </w:rPr>
        <w:t xml:space="preserve">note </w:t>
      </w:r>
      <w:r w:rsidRPr="00B57B6A">
        <w:rPr>
          <w:rFonts w:asciiTheme="majorBidi" w:hAnsiTheme="majorBidi" w:cstheme="majorBidi"/>
        </w:rPr>
        <w:fldChar w:fldCharType="begin"/>
      </w:r>
      <w:r w:rsidRPr="00B57B6A">
        <w:rPr>
          <w:rFonts w:asciiTheme="majorBidi" w:hAnsiTheme="majorBidi" w:cstheme="majorBidi"/>
        </w:rPr>
        <w:instrText xml:space="preserve"> NOTEREF _Ref334362310 \h  \* MERGEFORMAT </w:instrText>
      </w:r>
      <w:r w:rsidRPr="00B57B6A">
        <w:rPr>
          <w:rFonts w:asciiTheme="majorBidi" w:hAnsiTheme="majorBidi" w:cstheme="majorBidi"/>
        </w:rPr>
      </w:r>
      <w:r w:rsidRPr="00B57B6A">
        <w:rPr>
          <w:rFonts w:asciiTheme="majorBidi" w:hAnsiTheme="majorBidi" w:cstheme="majorBidi"/>
        </w:rPr>
        <w:fldChar w:fldCharType="separate"/>
      </w:r>
      <w:r>
        <w:rPr>
          <w:rFonts w:asciiTheme="majorBidi" w:hAnsiTheme="majorBidi" w:cstheme="majorBidi"/>
        </w:rPr>
        <w:t>70</w:t>
      </w:r>
      <w:r w:rsidRPr="00B57B6A">
        <w:rPr>
          <w:rFonts w:asciiTheme="majorBidi" w:hAnsiTheme="majorBidi" w:cstheme="majorBidi"/>
        </w:rPr>
        <w:fldChar w:fldCharType="end"/>
      </w:r>
      <w:r w:rsidRPr="00474D22">
        <w:rPr>
          <w:rFonts w:asciiTheme="majorBidi" w:hAnsiTheme="majorBidi" w:cstheme="majorBidi"/>
        </w:rPr>
        <w:t xml:space="preserve"> at</w:t>
      </w:r>
      <w:r w:rsidRPr="004A0764">
        <w:rPr>
          <w:rFonts w:asciiTheme="majorBidi" w:hAnsiTheme="majorBidi" w:cstheme="majorBidi"/>
        </w:rPr>
        <w:t xml:space="preserve"> 13.</w:t>
      </w:r>
    </w:p>
  </w:footnote>
  <w:footnote w:id="161">
    <w:p w14:paraId="3BF423D7" w14:textId="30BBC146" w:rsidR="001A3CF6" w:rsidRPr="009E1C12" w:rsidRDefault="001A3CF6" w:rsidP="00B57B6A">
      <w:pPr>
        <w:shd w:val="clear" w:color="auto" w:fill="FFFFFF"/>
        <w:spacing w:after="0"/>
        <w:rPr>
          <w:rFonts w:asciiTheme="majorBidi" w:hAnsiTheme="majorBidi" w:cstheme="majorBidi"/>
          <w:color w:val="000000"/>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In Oklahoma, for example, all institutions for children have been closed. Noting the dangers of placement in group homes, the reform was designed to ensure that all children with disabilities are able to live within a family or substitute family. Six-year outcome studies have shown that this reform has not only been successful -- it has resulted in great improvements in quality of life. </w:t>
      </w:r>
      <w:r w:rsidRPr="009E1C12">
        <w:rPr>
          <w:rFonts w:asciiTheme="majorBidi" w:hAnsiTheme="majorBidi" w:cstheme="majorBidi"/>
          <w:color w:val="000000"/>
          <w:sz w:val="20"/>
          <w:szCs w:val="20"/>
        </w:rPr>
        <w:t>Conroy, J.</w:t>
      </w:r>
      <w:r w:rsidRPr="00FF3EB3">
        <w:rPr>
          <w:rFonts w:asciiTheme="majorBidi" w:hAnsiTheme="majorBidi" w:cstheme="majorBidi"/>
          <w:color w:val="000000"/>
          <w:sz w:val="20"/>
          <w:szCs w:val="20"/>
        </w:rPr>
        <w:t xml:space="preserve">, </w:t>
      </w:r>
      <w:r w:rsidRPr="009E1C12">
        <w:rPr>
          <w:rFonts w:asciiTheme="majorBidi" w:eastAsia="Cambria" w:hAnsiTheme="majorBidi" w:cstheme="majorBidi"/>
          <w:smallCaps/>
          <w:sz w:val="20"/>
          <w:szCs w:val="20"/>
        </w:rPr>
        <w:t>The Hissom Outcomes Study: A Report on 6 Years of Movement into Supported Living: The People Who Once Lived at Hissom Memorial Center: Are They Better Off?</w:t>
      </w:r>
      <w:r w:rsidRPr="009E1C12">
        <w:rPr>
          <w:rFonts w:asciiTheme="majorBidi" w:hAnsiTheme="majorBidi" w:cstheme="majorBidi"/>
          <w:color w:val="000000"/>
          <w:sz w:val="20"/>
          <w:szCs w:val="20"/>
        </w:rPr>
        <w:t xml:space="preserve"> </w:t>
      </w:r>
      <w:r w:rsidRPr="00FF3EB3">
        <w:rPr>
          <w:rFonts w:asciiTheme="majorBidi" w:hAnsiTheme="majorBidi" w:cstheme="majorBidi"/>
          <w:color w:val="000000"/>
          <w:sz w:val="20"/>
          <w:szCs w:val="20"/>
        </w:rPr>
        <w:t>(</w:t>
      </w:r>
      <w:r w:rsidRPr="009E1C12">
        <w:rPr>
          <w:rFonts w:asciiTheme="majorBidi" w:hAnsiTheme="majorBidi" w:cstheme="majorBidi"/>
          <w:color w:val="000000"/>
          <w:sz w:val="20"/>
          <w:szCs w:val="20"/>
        </w:rPr>
        <w:t>The Center for Outcome Analysis</w:t>
      </w:r>
      <w:r w:rsidRPr="00FF3EB3">
        <w:rPr>
          <w:rFonts w:asciiTheme="majorBidi" w:hAnsiTheme="majorBidi" w:cstheme="majorBidi"/>
          <w:color w:val="000000"/>
          <w:sz w:val="20"/>
          <w:szCs w:val="20"/>
        </w:rPr>
        <w:t>, 1996)</w:t>
      </w:r>
      <w:r w:rsidRPr="009E1C12">
        <w:rPr>
          <w:rFonts w:asciiTheme="majorBidi" w:hAnsiTheme="majorBidi" w:cstheme="majorBidi"/>
          <w:color w:val="000000"/>
          <w:sz w:val="20"/>
          <w:szCs w:val="20"/>
        </w:rPr>
        <w:t xml:space="preserve">; </w:t>
      </w:r>
      <w:r w:rsidRPr="00B57B6A">
        <w:rPr>
          <w:rFonts w:asciiTheme="majorBidi" w:hAnsiTheme="majorBidi" w:cstheme="majorBidi"/>
          <w:color w:val="000000"/>
          <w:sz w:val="20"/>
          <w:szCs w:val="20"/>
        </w:rPr>
        <w:t xml:space="preserve">Conroy, J., Spreat, S., Yuskauskas, A, &amp; Elks, M. (2003). The Hissom Outcomes Study: A Report on Six Years of Movement to Supported Living.  </w:t>
      </w:r>
      <w:r w:rsidRPr="00B57B6A">
        <w:rPr>
          <w:rFonts w:asciiTheme="majorBidi" w:hAnsiTheme="majorBidi" w:cstheme="majorBidi"/>
          <w:i/>
          <w:iCs/>
          <w:color w:val="000000"/>
          <w:sz w:val="20"/>
          <w:szCs w:val="20"/>
        </w:rPr>
        <w:t>Mental Retardation, 41, 4, </w:t>
      </w:r>
      <w:r w:rsidRPr="00B57B6A">
        <w:rPr>
          <w:rFonts w:asciiTheme="majorBidi" w:hAnsiTheme="majorBidi" w:cstheme="majorBidi"/>
          <w:color w:val="000000"/>
          <w:sz w:val="20"/>
          <w:szCs w:val="20"/>
        </w:rPr>
        <w:t>263–275</w:t>
      </w:r>
      <w:r w:rsidRPr="00B57B6A">
        <w:rPr>
          <w:rFonts w:asciiTheme="majorBidi" w:hAnsiTheme="majorBidi" w:cstheme="majorBidi"/>
          <w:i/>
          <w:iCs/>
          <w:color w:val="000000"/>
          <w:sz w:val="20"/>
          <w:szCs w:val="20"/>
        </w:rPr>
        <w:t>.</w:t>
      </w:r>
    </w:p>
  </w:footnote>
  <w:footnote w:id="162">
    <w:p w14:paraId="200FC700" w14:textId="1C40BF35" w:rsidR="001A3CF6" w:rsidRPr="00474D22" w:rsidRDefault="001A3CF6" w:rsidP="00240737">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854EDD">
        <w:rPr>
          <w:rFonts w:asciiTheme="majorBidi" w:hAnsiTheme="majorBidi" w:cstheme="majorBidi"/>
        </w:rPr>
        <w:t xml:space="preserve">Dozier, </w:t>
      </w:r>
      <w:r w:rsidRPr="00B57B6A">
        <w:rPr>
          <w:rFonts w:asciiTheme="majorBidi" w:hAnsiTheme="majorBidi" w:cstheme="majorBidi"/>
          <w:i/>
        </w:rPr>
        <w:t>et. al.</w:t>
      </w:r>
      <w:r w:rsidRPr="00B57B6A">
        <w:rPr>
          <w:rFonts w:asciiTheme="majorBidi" w:hAnsiTheme="majorBidi" w:cstheme="majorBidi"/>
        </w:rPr>
        <w:t xml:space="preserve">, </w:t>
      </w:r>
      <w:r w:rsidRPr="00B57B6A">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_Ref464124738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61</w:t>
      </w:r>
      <w:r>
        <w:rPr>
          <w:rFonts w:asciiTheme="majorBidi" w:hAnsiTheme="majorBidi" w:cstheme="majorBidi"/>
        </w:rPr>
        <w:fldChar w:fldCharType="end"/>
      </w:r>
      <w:r w:rsidRPr="00854EDD">
        <w:rPr>
          <w:rFonts w:asciiTheme="majorBidi" w:hAnsiTheme="majorBidi" w:cstheme="majorBidi"/>
        </w:rPr>
        <w:t xml:space="preserve"> at</w:t>
      </w:r>
      <w:r w:rsidRPr="00474D22">
        <w:rPr>
          <w:rFonts w:asciiTheme="majorBidi" w:hAnsiTheme="majorBidi" w:cstheme="majorBidi"/>
        </w:rPr>
        <w:t xml:space="preserve"> 220.</w:t>
      </w:r>
    </w:p>
  </w:footnote>
  <w:footnote w:id="163">
    <w:p w14:paraId="185200F3" w14:textId="77777777" w:rsidR="001A3CF6" w:rsidRPr="009E1C12" w:rsidRDefault="001A3CF6" w:rsidP="00240737">
      <w:pPr>
        <w:pStyle w:val="FootnoteText"/>
        <w:rPr>
          <w:rFonts w:asciiTheme="majorBidi" w:hAnsiTheme="majorBidi" w:cstheme="majorBidi"/>
          <w:i/>
        </w:rPr>
      </w:pPr>
      <w:r w:rsidRPr="00854EDD">
        <w:rPr>
          <w:rStyle w:val="FootnoteReference"/>
          <w:rFonts w:asciiTheme="majorBidi" w:hAnsiTheme="majorBidi" w:cstheme="majorBidi"/>
        </w:rPr>
        <w:footnoteRef/>
      </w:r>
      <w:r w:rsidRPr="00854EDD">
        <w:rPr>
          <w:rFonts w:asciiTheme="majorBidi" w:hAnsiTheme="majorBidi" w:cstheme="majorBidi"/>
        </w:rPr>
        <w:t xml:space="preserve"> </w:t>
      </w:r>
      <w:r w:rsidRPr="00854EDD">
        <w:rPr>
          <w:rFonts w:asciiTheme="majorBidi" w:hAnsiTheme="majorBidi" w:cstheme="majorBidi"/>
          <w:i/>
        </w:rPr>
        <w:t>Id.</w:t>
      </w:r>
    </w:p>
  </w:footnote>
  <w:footnote w:id="164">
    <w:p w14:paraId="1CFB3BBA" w14:textId="75D29D55" w:rsidR="001A3CF6" w:rsidRPr="009E1C12" w:rsidRDefault="001A3CF6" w:rsidP="00240737">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Anne E. Casey Foundation, </w:t>
      </w:r>
      <w:r w:rsidRPr="009E1C12">
        <w:rPr>
          <w:rFonts w:asciiTheme="majorBidi" w:eastAsia="Cambria" w:hAnsiTheme="majorBidi" w:cstheme="majorBidi"/>
          <w:smallCaps/>
        </w:rPr>
        <w:t>Reconnecting Child Development and Child Welfare: Evolving Perspectives on Residential Placement</w:t>
      </w:r>
      <w:r w:rsidRPr="009E1C12">
        <w:rPr>
          <w:rFonts w:asciiTheme="majorBidi" w:hAnsiTheme="majorBidi" w:cstheme="majorBidi"/>
        </w:rPr>
        <w:t xml:space="preserve"> (2013).</w:t>
      </w:r>
    </w:p>
  </w:footnote>
  <w:footnote w:id="165">
    <w:p w14:paraId="6D2F130D" w14:textId="30AD1966" w:rsidR="001A3CF6" w:rsidRPr="009E1C12" w:rsidRDefault="001A3CF6" w:rsidP="00240737">
      <w:pPr>
        <w:pStyle w:val="FootnoteText"/>
        <w:rPr>
          <w:rFonts w:asciiTheme="majorBidi" w:hAnsiTheme="majorBidi" w:cstheme="majorBidi"/>
          <w:i/>
        </w:rPr>
      </w:pPr>
      <w:r w:rsidRPr="009E1C12">
        <w:rPr>
          <w:rStyle w:val="FootnoteReference"/>
          <w:rFonts w:asciiTheme="majorBidi" w:hAnsiTheme="majorBidi" w:cstheme="majorBidi"/>
        </w:rPr>
        <w:footnoteRef/>
      </w:r>
      <w:r>
        <w:rPr>
          <w:rFonts w:asciiTheme="majorBidi" w:hAnsiTheme="majorBidi" w:cstheme="majorBidi"/>
        </w:rPr>
        <w:t xml:space="preserve"> </w:t>
      </w:r>
      <w:r w:rsidRPr="009E1C12">
        <w:rPr>
          <w:rFonts w:asciiTheme="majorBidi" w:hAnsiTheme="majorBidi" w:cstheme="majorBidi"/>
        </w:rPr>
        <w:t xml:space="preserve">Europe Regional Office of the </w:t>
      </w:r>
      <w:r w:rsidRPr="00EF3FA4">
        <w:rPr>
          <w:rFonts w:asciiTheme="majorBidi" w:hAnsiTheme="majorBidi" w:cstheme="majorBidi"/>
        </w:rPr>
        <w:t>O</w:t>
      </w:r>
      <w:r w:rsidRPr="009E1C12">
        <w:rPr>
          <w:rFonts w:asciiTheme="majorBidi" w:hAnsiTheme="majorBidi" w:cstheme="majorBidi"/>
        </w:rPr>
        <w:t xml:space="preserve">HCHR (2011), </w:t>
      </w:r>
      <w:r w:rsidRPr="009E1C12">
        <w:rPr>
          <w:rFonts w:asciiTheme="majorBidi" w:hAnsiTheme="majorBidi" w:cstheme="majorBidi"/>
          <w:i/>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_Ref334698833 \h </w:instrText>
      </w:r>
      <w:r w:rsidRPr="008F50FE">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66</w:t>
      </w:r>
      <w:r w:rsidRPr="009E1C12">
        <w:rPr>
          <w:rFonts w:asciiTheme="majorBidi" w:hAnsiTheme="majorBidi" w:cstheme="majorBidi"/>
        </w:rPr>
        <w:fldChar w:fldCharType="end"/>
      </w:r>
      <w:r>
        <w:rPr>
          <w:rFonts w:asciiTheme="majorBidi" w:hAnsiTheme="majorBidi" w:cstheme="majorBidi"/>
        </w:rPr>
        <w:t xml:space="preserve"> at </w:t>
      </w:r>
      <w:r w:rsidRPr="009E1C12">
        <w:rPr>
          <w:rFonts w:asciiTheme="majorBidi" w:hAnsiTheme="majorBidi" w:cstheme="majorBidi"/>
        </w:rPr>
        <w:t xml:space="preserve">30 (discussing the challenges of implementing progressive development). </w:t>
      </w:r>
    </w:p>
  </w:footnote>
  <w:footnote w:id="166">
    <w:p w14:paraId="211C5B41" w14:textId="3C041B5D" w:rsidR="001A3CF6" w:rsidRPr="009E1C12" w:rsidRDefault="001A3CF6" w:rsidP="009A132A">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w:t>
      </w:r>
      <w:r>
        <w:rPr>
          <w:rFonts w:asciiTheme="majorBidi" w:hAnsiTheme="majorBidi" w:cstheme="majorBidi"/>
        </w:rPr>
        <w:t>i</w:t>
      </w:r>
      <w:r w:rsidRPr="009E1C12">
        <w:rPr>
          <w:rFonts w:asciiTheme="majorBidi" w:hAnsiTheme="majorBidi" w:cstheme="majorBidi"/>
        </w:rPr>
        <w:t xml:space="preserve">lliamson &amp; Greenberg (2012), </w:t>
      </w:r>
      <w:r w:rsidRPr="00B57B6A">
        <w:rPr>
          <w:rFonts w:asciiTheme="majorBidi" w:hAnsiTheme="majorBidi" w:cstheme="majorBidi"/>
          <w:i/>
        </w:rPr>
        <w:t>supra</w:t>
      </w:r>
      <w:r w:rsidRPr="00B57B6A">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_Ref471736646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64</w:t>
      </w:r>
      <w:r>
        <w:rPr>
          <w:rFonts w:asciiTheme="majorBidi" w:hAnsiTheme="majorBidi" w:cstheme="majorBidi"/>
        </w:rPr>
        <w:fldChar w:fldCharType="end"/>
      </w:r>
      <w:r>
        <w:rPr>
          <w:rFonts w:asciiTheme="majorBidi" w:hAnsiTheme="majorBidi" w:cstheme="majorBidi"/>
        </w:rPr>
        <w:t>,</w:t>
      </w:r>
      <w:r w:rsidRPr="00B57B6A">
        <w:rPr>
          <w:rFonts w:asciiTheme="majorBidi" w:hAnsiTheme="majorBidi" w:cstheme="majorBidi"/>
        </w:rPr>
        <w:t xml:space="preserve"> </w:t>
      </w:r>
      <w:r w:rsidRPr="004A0764">
        <w:rPr>
          <w:rFonts w:asciiTheme="majorBidi" w:hAnsiTheme="majorBidi" w:cstheme="majorBidi"/>
        </w:rPr>
        <w:t>at 3.</w:t>
      </w:r>
    </w:p>
  </w:footnote>
  <w:footnote w:id="167">
    <w:p w14:paraId="57E581E3" w14:textId="48EB7F3B" w:rsidR="001A3CF6" w:rsidRPr="009E1C12" w:rsidRDefault="001A3CF6" w:rsidP="009A132A">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i/>
        </w:rPr>
        <w:t xml:space="preserve"> </w:t>
      </w:r>
      <w:r w:rsidRPr="00B57B6A">
        <w:rPr>
          <w:rFonts w:asciiTheme="majorBidi" w:hAnsiTheme="majorBidi" w:cstheme="majorBidi"/>
        </w:rPr>
        <w:t>at</w:t>
      </w:r>
      <w:r w:rsidRPr="000A1C04">
        <w:rPr>
          <w:rFonts w:asciiTheme="majorBidi" w:hAnsiTheme="majorBidi" w:cstheme="majorBidi"/>
        </w:rPr>
        <w:t xml:space="preserve"> </w:t>
      </w:r>
      <w:r w:rsidRPr="009E1C12">
        <w:rPr>
          <w:rFonts w:asciiTheme="majorBidi" w:hAnsiTheme="majorBidi" w:cstheme="majorBidi"/>
        </w:rPr>
        <w:t>4.</w:t>
      </w:r>
    </w:p>
  </w:footnote>
  <w:footnote w:id="168">
    <w:p w14:paraId="2C909ED0" w14:textId="0B6D4794"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Pr>
          <w:rFonts w:asciiTheme="majorBidi" w:hAnsiTheme="majorBidi" w:cstheme="majorBidi"/>
        </w:rPr>
        <w:t xml:space="preserve"> Implementing the Guidelines</w:t>
      </w:r>
      <w:r w:rsidRPr="008F443B">
        <w:rPr>
          <w:rFonts w:asciiTheme="majorBidi" w:hAnsiTheme="majorBidi" w:cstheme="majorBidi"/>
        </w:rPr>
        <w:t xml:space="preserve">, </w:t>
      </w:r>
      <w:r w:rsidRPr="00B57B6A">
        <w:rPr>
          <w:rFonts w:asciiTheme="majorBidi" w:hAnsiTheme="majorBidi" w:cstheme="majorBidi"/>
          <w:i/>
        </w:rPr>
        <w:t>supra</w:t>
      </w:r>
      <w:r w:rsidRPr="00B57B6A">
        <w:rPr>
          <w:rFonts w:asciiTheme="majorBidi" w:hAnsiTheme="majorBidi" w:cstheme="majorBidi"/>
        </w:rPr>
        <w:t xml:space="preserve"> note </w:t>
      </w:r>
      <w:r w:rsidRPr="00B57B6A">
        <w:rPr>
          <w:rFonts w:asciiTheme="majorBidi" w:hAnsiTheme="majorBidi" w:cstheme="majorBidi"/>
        </w:rPr>
        <w:fldChar w:fldCharType="begin"/>
      </w:r>
      <w:r w:rsidRPr="00B57B6A">
        <w:rPr>
          <w:rFonts w:asciiTheme="majorBidi" w:hAnsiTheme="majorBidi" w:cstheme="majorBidi"/>
        </w:rPr>
        <w:instrText xml:space="preserve"> NOTEREF _Ref464126366 \h  \* MERGEFORMAT </w:instrText>
      </w:r>
      <w:r w:rsidRPr="00B57B6A">
        <w:rPr>
          <w:rFonts w:asciiTheme="majorBidi" w:hAnsiTheme="majorBidi" w:cstheme="majorBidi"/>
        </w:rPr>
      </w:r>
      <w:r w:rsidRPr="00B57B6A">
        <w:rPr>
          <w:rFonts w:asciiTheme="majorBidi" w:hAnsiTheme="majorBidi" w:cstheme="majorBidi"/>
        </w:rPr>
        <w:fldChar w:fldCharType="separate"/>
      </w:r>
      <w:r>
        <w:rPr>
          <w:rFonts w:asciiTheme="majorBidi" w:hAnsiTheme="majorBidi" w:cstheme="majorBidi"/>
        </w:rPr>
        <w:t>18</w:t>
      </w:r>
      <w:r w:rsidRPr="00B57B6A">
        <w:rPr>
          <w:rFonts w:asciiTheme="majorBidi" w:hAnsiTheme="majorBidi" w:cstheme="majorBidi"/>
        </w:rPr>
        <w:fldChar w:fldCharType="end"/>
      </w:r>
      <w:r w:rsidRPr="008F443B">
        <w:rPr>
          <w:rFonts w:asciiTheme="majorBidi" w:hAnsiTheme="majorBidi" w:cstheme="majorBidi"/>
        </w:rPr>
        <w:t xml:space="preserve"> at</w:t>
      </w:r>
      <w:r w:rsidRPr="009E2845">
        <w:rPr>
          <w:rFonts w:asciiTheme="majorBidi" w:hAnsiTheme="majorBidi" w:cstheme="majorBidi"/>
        </w:rPr>
        <w:t xml:space="preserve"> 45.</w:t>
      </w:r>
    </w:p>
  </w:footnote>
  <w:footnote w:id="169">
    <w:p w14:paraId="41FADAAD" w14:textId="4300CA5C" w:rsidR="001A3CF6" w:rsidRPr="009E1C12" w:rsidRDefault="001A3CF6" w:rsidP="00240737">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9E1C12">
        <w:rPr>
          <w:rFonts w:asciiTheme="majorBidi" w:hAnsiTheme="majorBidi" w:cstheme="majorBidi"/>
        </w:rPr>
        <w:t xml:space="preserve">. During this time, a third of children were reunited with their families, 400 were placed in small group homes, and the rest were placed in a new foster care system. </w:t>
      </w:r>
    </w:p>
  </w:footnote>
  <w:footnote w:id="170">
    <w:p w14:paraId="53196A04" w14:textId="073366C3" w:rsidR="001A3CF6" w:rsidRPr="009E1C12" w:rsidRDefault="001A3CF6" w:rsidP="008551DC">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Disability Rights International, </w:t>
      </w:r>
      <w:r w:rsidRPr="009E1C12">
        <w:rPr>
          <w:rFonts w:asciiTheme="majorBidi" w:eastAsia="Cambria" w:hAnsiTheme="majorBidi" w:cstheme="majorBidi"/>
          <w:smallCaps/>
        </w:rPr>
        <w:t xml:space="preserve">Left Behind: The Exclusion of Children and Adults with Disabilities from Reform and Rights Protection in the Republic of </w:t>
      </w:r>
      <w:r w:rsidRPr="00FF3EB3">
        <w:rPr>
          <w:rFonts w:asciiTheme="majorBidi" w:eastAsia="Cambria" w:hAnsiTheme="majorBidi" w:cstheme="majorBidi"/>
          <w:smallCaps/>
        </w:rPr>
        <w:t>Georgia</w:t>
      </w:r>
      <w:r w:rsidRPr="009E1C12">
        <w:rPr>
          <w:rFonts w:asciiTheme="majorBidi" w:hAnsiTheme="majorBidi" w:cstheme="majorBidi"/>
        </w:rPr>
        <w:t xml:space="preserve"> (2013), </w:t>
      </w:r>
      <w:hyperlink r:id="rId19" w:history="1">
        <w:r w:rsidRPr="00FD2755">
          <w:rPr>
            <w:rStyle w:val="Hyperlink"/>
            <w:rFonts w:asciiTheme="majorBidi" w:hAnsiTheme="majorBidi" w:cstheme="majorBidi"/>
          </w:rPr>
          <w:t>http://www.driadvocacy.org/wp-content/uploads/Left-Behind-final-report.pdf</w:t>
        </w:r>
      </w:hyperlink>
      <w:r>
        <w:rPr>
          <w:rFonts w:asciiTheme="majorBidi" w:hAnsiTheme="majorBidi" w:cstheme="majorBidi"/>
        </w:rPr>
        <w:t xml:space="preserve"> [hereinafter “DRI Georgia Report”]. </w:t>
      </w:r>
    </w:p>
  </w:footnote>
  <w:footnote w:id="171">
    <w:p w14:paraId="7234C8E0" w14:textId="6E9A6949" w:rsidR="001A3CF6" w:rsidRPr="009E1C12" w:rsidRDefault="001A3CF6" w:rsidP="001A49BE">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w:t>
      </w:r>
      <w:r>
        <w:rPr>
          <w:rFonts w:asciiTheme="majorBidi" w:hAnsiTheme="majorBidi" w:cstheme="majorBidi"/>
          <w:i/>
        </w:rPr>
        <w:t xml:space="preserve">e.g. </w:t>
      </w:r>
      <w:r>
        <w:rPr>
          <w:rFonts w:asciiTheme="majorBidi" w:hAnsiTheme="majorBidi" w:cstheme="majorBidi"/>
        </w:rPr>
        <w:t xml:space="preserve">DRI Ukraine Report, </w:t>
      </w:r>
      <w:r>
        <w:rPr>
          <w:rFonts w:asciiTheme="majorBidi" w:hAnsiTheme="majorBidi" w:cstheme="majorBidi"/>
          <w:i/>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_Ref471315779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148</w:t>
      </w:r>
      <w:r>
        <w:rPr>
          <w:rFonts w:asciiTheme="majorBidi" w:hAnsiTheme="majorBidi" w:cstheme="majorBidi"/>
        </w:rPr>
        <w:fldChar w:fldCharType="end"/>
      </w:r>
      <w:r>
        <w:rPr>
          <w:rFonts w:asciiTheme="majorBidi" w:hAnsiTheme="majorBidi" w:cstheme="majorBidi"/>
        </w:rPr>
        <w:t xml:space="preserve">; Disability Rights International, </w:t>
      </w:r>
      <w:r w:rsidRPr="009E1C12">
        <w:rPr>
          <w:rFonts w:asciiTheme="majorBidi" w:hAnsiTheme="majorBidi" w:cstheme="majorBidi"/>
          <w:smallCaps/>
        </w:rPr>
        <w:t>No Justice: Torture, Trafficking, and Segregation in Mexico</w:t>
      </w:r>
      <w:r w:rsidRPr="009E1C12">
        <w:rPr>
          <w:rFonts w:asciiTheme="majorBidi" w:hAnsiTheme="majorBidi" w:cstheme="majorBidi"/>
        </w:rPr>
        <w:t xml:space="preserve"> (2</w:t>
      </w:r>
      <w:r>
        <w:rPr>
          <w:rFonts w:asciiTheme="majorBidi" w:hAnsiTheme="majorBidi" w:cstheme="majorBidi"/>
        </w:rPr>
        <w:t>015).</w:t>
      </w:r>
    </w:p>
  </w:footnote>
  <w:footnote w:id="172">
    <w:p w14:paraId="391BC8E7" w14:textId="3592D75B" w:rsidR="001A3CF6" w:rsidRPr="009E1C12" w:rsidRDefault="001A3CF6" w:rsidP="00C4342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UNICEF’s Director in Georgia informed DRI in 2012 that the intention was to prioritize the deinstitutionalization of non-disabled children</w:t>
      </w:r>
      <w:r w:rsidRPr="00FF3EB3">
        <w:rPr>
          <w:rFonts w:asciiTheme="majorBidi" w:hAnsiTheme="majorBidi" w:cstheme="majorBidi"/>
        </w:rPr>
        <w:t>,</w:t>
      </w:r>
      <w:r w:rsidRPr="009E1C12">
        <w:rPr>
          <w:rFonts w:asciiTheme="majorBidi" w:hAnsiTheme="majorBidi" w:cstheme="majorBidi"/>
        </w:rPr>
        <w:t xml:space="preserve"> and then</w:t>
      </w:r>
      <w:r w:rsidRPr="00FF3EB3">
        <w:rPr>
          <w:rFonts w:asciiTheme="majorBidi" w:hAnsiTheme="majorBidi" w:cstheme="majorBidi"/>
        </w:rPr>
        <w:t xml:space="preserve"> to</w:t>
      </w:r>
      <w:r w:rsidRPr="009E1C12">
        <w:rPr>
          <w:rFonts w:asciiTheme="majorBidi" w:hAnsiTheme="majorBidi" w:cstheme="majorBidi"/>
        </w:rPr>
        <w:t xml:space="preserve"> return to concerns of children with disabilities after that.  Among the problems with this approach</w:t>
      </w:r>
      <w:r w:rsidRPr="00FF3EB3">
        <w:rPr>
          <w:rFonts w:asciiTheme="majorBidi" w:hAnsiTheme="majorBidi" w:cstheme="majorBidi"/>
        </w:rPr>
        <w:t xml:space="preserve"> is that</w:t>
      </w:r>
      <w:r w:rsidRPr="009E1C12">
        <w:rPr>
          <w:rFonts w:asciiTheme="majorBidi" w:hAnsiTheme="majorBidi" w:cstheme="majorBidi"/>
        </w:rPr>
        <w:t xml:space="preserve"> it can leave the impression that segregation is the norm.  Georgia’s Minister of Labor, Health, and Social Affairs stated in November 2013, for example, that: “The strategy is that physically healthy children will not stay in large-scale child care institutions, but be adopted and raised in family-based care – according to international experience it is the best option for them.  As for children with disabilities, it is reasonable and fairly normal to be brought up and stay in a child care institutions.”</w:t>
      </w:r>
      <w:r>
        <w:rPr>
          <w:rFonts w:asciiTheme="majorBidi" w:hAnsiTheme="majorBidi" w:cstheme="majorBidi"/>
        </w:rPr>
        <w:t xml:space="preserve"> DRI Georgia Report, </w:t>
      </w:r>
      <w:r>
        <w:rPr>
          <w:rFonts w:asciiTheme="majorBidi" w:hAnsiTheme="majorBidi" w:cstheme="majorBidi"/>
          <w:i/>
        </w:rPr>
        <w:t>supra</w:t>
      </w:r>
      <w:r w:rsidRPr="009E1C12">
        <w:rPr>
          <w:rFonts w:asciiTheme="majorBidi" w:hAnsiTheme="majorBidi" w:cstheme="majorBidi"/>
        </w:rPr>
        <w:t xml:space="preserve"> </w:t>
      </w:r>
      <w:r>
        <w:rPr>
          <w:rFonts w:asciiTheme="majorBidi" w:hAnsiTheme="majorBidi" w:cstheme="majorBidi"/>
        </w:rPr>
        <w:t>note</w:t>
      </w:r>
      <w:r>
        <w:rPr>
          <w:rFonts w:asciiTheme="majorBidi" w:hAnsiTheme="majorBidi" w:cstheme="majorBidi"/>
        </w:rPr>
        <w:fldChar w:fldCharType="begin"/>
      </w:r>
      <w:r>
        <w:rPr>
          <w:rFonts w:asciiTheme="majorBidi" w:hAnsiTheme="majorBidi" w:cstheme="majorBidi"/>
        </w:rPr>
        <w:instrText xml:space="preserve"> NOTEREF _Ref466623094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170</w:t>
      </w:r>
      <w:r>
        <w:rPr>
          <w:rFonts w:asciiTheme="majorBidi" w:hAnsiTheme="majorBidi" w:cstheme="majorBidi"/>
        </w:rPr>
        <w:fldChar w:fldCharType="end"/>
      </w:r>
      <w:r>
        <w:rPr>
          <w:rFonts w:asciiTheme="majorBidi" w:hAnsiTheme="majorBidi" w:cstheme="majorBidi"/>
        </w:rPr>
        <w:t xml:space="preserve">, </w:t>
      </w:r>
      <w:r w:rsidRPr="009E1C12">
        <w:rPr>
          <w:rFonts w:asciiTheme="majorBidi" w:hAnsiTheme="majorBidi" w:cstheme="majorBidi"/>
        </w:rPr>
        <w:t>at viii. The Minister reversed himself after the release of DRI’s report.  When he was interviewed for a documentary by PBS</w:t>
      </w:r>
      <w:r w:rsidRPr="00FF3EB3">
        <w:rPr>
          <w:rFonts w:asciiTheme="majorBidi" w:hAnsiTheme="majorBidi" w:cstheme="majorBidi"/>
        </w:rPr>
        <w:t>:</w:t>
      </w:r>
      <w:r w:rsidRPr="009E1C12">
        <w:rPr>
          <w:rFonts w:asciiTheme="majorBidi" w:hAnsiTheme="majorBidi" w:cstheme="majorBidi"/>
        </w:rPr>
        <w:t xml:space="preserve"> </w:t>
      </w:r>
      <w:r w:rsidRPr="00FF3EB3">
        <w:rPr>
          <w:rFonts w:asciiTheme="majorBidi" w:hAnsiTheme="majorBidi" w:cstheme="majorBidi"/>
        </w:rPr>
        <w:t xml:space="preserve">Disability Rights International - </w:t>
      </w:r>
      <w:r w:rsidRPr="009E1C12">
        <w:rPr>
          <w:rFonts w:asciiTheme="majorBidi" w:eastAsia="Cambria" w:hAnsiTheme="majorBidi" w:cstheme="majorBidi"/>
          <w:smallCaps/>
        </w:rPr>
        <w:t>The Visionaries</w:t>
      </w:r>
      <w:r w:rsidRPr="00FF3EB3">
        <w:rPr>
          <w:rFonts w:asciiTheme="majorBidi" w:eastAsia="Cambria" w:hAnsiTheme="majorBidi" w:cstheme="majorBidi"/>
          <w:smallCaps/>
        </w:rPr>
        <w:t xml:space="preserve"> (PBS,</w:t>
      </w:r>
      <w:r w:rsidRPr="009E1C12">
        <w:rPr>
          <w:rFonts w:asciiTheme="majorBidi" w:hAnsiTheme="majorBidi" w:cstheme="majorBidi"/>
        </w:rPr>
        <w:t xml:space="preserve"> 201</w:t>
      </w:r>
      <w:r w:rsidRPr="00FF3EB3">
        <w:rPr>
          <w:rFonts w:asciiTheme="majorBidi" w:hAnsiTheme="majorBidi" w:cstheme="majorBidi"/>
        </w:rPr>
        <w:t>4)</w:t>
      </w:r>
      <w:r w:rsidRPr="009E1C12">
        <w:rPr>
          <w:rFonts w:asciiTheme="majorBidi" w:hAnsiTheme="majorBidi" w:cstheme="majorBidi"/>
        </w:rPr>
        <w:t xml:space="preserve">, </w:t>
      </w:r>
      <w:hyperlink r:id="rId20" w:history="1">
        <w:r w:rsidRPr="00FF3EB3">
          <w:rPr>
            <w:rStyle w:val="Hyperlink"/>
            <w:rFonts w:asciiTheme="majorBidi" w:hAnsiTheme="majorBidi" w:cstheme="majorBidi"/>
          </w:rPr>
          <w:t>http://www.driadvocacy.org/media-gallery/</w:t>
        </w:r>
      </w:hyperlink>
      <w:r w:rsidRPr="00FF3EB3">
        <w:rPr>
          <w:rStyle w:val="Hyperlink"/>
          <w:rFonts w:asciiTheme="majorBidi" w:hAnsiTheme="majorBidi" w:cstheme="majorBidi"/>
        </w:rPr>
        <w:t xml:space="preserve">. </w:t>
      </w:r>
      <w:r w:rsidRPr="00FF3EB3">
        <w:rPr>
          <w:rFonts w:asciiTheme="majorBidi" w:hAnsiTheme="majorBidi" w:cstheme="majorBidi"/>
        </w:rPr>
        <w:t>H</w:t>
      </w:r>
      <w:r w:rsidRPr="009E1C12">
        <w:rPr>
          <w:rFonts w:asciiTheme="majorBidi" w:hAnsiTheme="majorBidi" w:cstheme="majorBidi"/>
        </w:rPr>
        <w:t>e stated that all children with disabilities would be integrated into the community within a year.  (last visited November 11, 2016). As of July 2016, authorities at two remaining facilities for children with disabilities reported to this author that new admissions are still taking place in these facilities.  Ministry officials report that they are committed to their closure.</w:t>
      </w:r>
    </w:p>
  </w:footnote>
  <w:footnote w:id="173">
    <w:p w14:paraId="75E58D5F" w14:textId="26DD1578" w:rsidR="001A3CF6" w:rsidRPr="00016E6A"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DRI found that approximately 150 children with disabilities remained in three institutions while approximately 2,000 children had been integrated into the community.  DRI also found that more than 1,000 children in church-run institutions were overlooked by reformers. </w:t>
      </w:r>
      <w:r>
        <w:rPr>
          <w:rFonts w:asciiTheme="majorBidi" w:hAnsiTheme="majorBidi" w:cstheme="majorBidi"/>
        </w:rPr>
        <w:t xml:space="preserve">DRI Georgia Report, </w:t>
      </w:r>
      <w:r>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_Ref466623094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170</w:t>
      </w:r>
      <w:r>
        <w:rPr>
          <w:rFonts w:asciiTheme="majorBidi" w:hAnsiTheme="majorBidi" w:cstheme="majorBidi"/>
        </w:rPr>
        <w:fldChar w:fldCharType="end"/>
      </w:r>
      <w:r>
        <w:rPr>
          <w:rFonts w:asciiTheme="majorBidi" w:hAnsiTheme="majorBidi" w:cstheme="majorBidi"/>
        </w:rPr>
        <w:t xml:space="preserve">, at 21. </w:t>
      </w:r>
      <w:r>
        <w:rPr>
          <w:rFonts w:asciiTheme="majorBidi" w:hAnsiTheme="majorBidi" w:cstheme="majorBidi"/>
          <w:i/>
        </w:rPr>
        <w:t>See</w:t>
      </w:r>
      <w:r>
        <w:rPr>
          <w:rFonts w:asciiTheme="majorBidi" w:hAnsiTheme="majorBidi" w:cstheme="majorBidi"/>
        </w:rPr>
        <w:t xml:space="preserve"> discussion of these overlooked children and the need for improved monitoring at note </w:t>
      </w:r>
      <w:r>
        <w:rPr>
          <w:rFonts w:asciiTheme="majorBidi" w:hAnsiTheme="majorBidi" w:cstheme="majorBidi"/>
        </w:rPr>
        <w:fldChar w:fldCharType="begin"/>
      </w:r>
      <w:r>
        <w:rPr>
          <w:rFonts w:asciiTheme="majorBidi" w:hAnsiTheme="majorBidi" w:cstheme="majorBidi"/>
        </w:rPr>
        <w:instrText xml:space="preserve"> NOTEREF _Ref466623387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228</w:t>
      </w:r>
      <w:r>
        <w:rPr>
          <w:rFonts w:asciiTheme="majorBidi" w:hAnsiTheme="majorBidi" w:cstheme="majorBidi"/>
        </w:rPr>
        <w:fldChar w:fldCharType="end"/>
      </w:r>
      <w:r>
        <w:rPr>
          <w:rFonts w:asciiTheme="majorBidi" w:hAnsiTheme="majorBidi" w:cstheme="majorBidi"/>
        </w:rPr>
        <w:t xml:space="preserve"> </w:t>
      </w:r>
      <w:r>
        <w:rPr>
          <w:rFonts w:asciiTheme="majorBidi" w:hAnsiTheme="majorBidi" w:cstheme="majorBidi"/>
          <w:i/>
        </w:rPr>
        <w:t>supra</w:t>
      </w:r>
      <w:r>
        <w:rPr>
          <w:rFonts w:asciiTheme="majorBidi" w:hAnsiTheme="majorBidi" w:cstheme="majorBidi"/>
        </w:rPr>
        <w:t xml:space="preserve"> and accompanying text.</w:t>
      </w:r>
    </w:p>
  </w:footnote>
  <w:footnote w:id="174">
    <w:p w14:paraId="506A0ED6" w14:textId="7AD8604B" w:rsidR="001A3CF6" w:rsidRPr="009E1C12" w:rsidRDefault="001A3CF6" w:rsidP="004C7699">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See</w:t>
      </w:r>
      <w:r w:rsidRPr="009E1C12">
        <w:rPr>
          <w:rFonts w:asciiTheme="majorBidi" w:hAnsiTheme="majorBidi" w:cstheme="majorBidi"/>
        </w:rPr>
        <w:t xml:space="preserve"> Eric Rosenthal &amp; Laurie Ahern, </w:t>
      </w:r>
      <w:r w:rsidRPr="009E1C12">
        <w:rPr>
          <w:rFonts w:asciiTheme="majorBidi" w:hAnsiTheme="majorBidi" w:cstheme="majorBidi"/>
          <w:i/>
          <w:iCs/>
        </w:rPr>
        <w:t>When Treatment is Torture: Protecting People with Disabilities Detained in Institutions</w:t>
      </w:r>
      <w:r w:rsidRPr="009E1C12">
        <w:rPr>
          <w:rFonts w:asciiTheme="majorBidi" w:hAnsiTheme="majorBidi" w:cstheme="majorBidi"/>
        </w:rPr>
        <w:t xml:space="preserve">, 19(2) Human Rights Brief 13-17 (2012) (describing DRI’s efforts to seek recognition of improper treatment as torture and examining the records of Special Rapporteurs Manfred Nowak and Juan </w:t>
      </w:r>
      <w:r w:rsidRPr="0048081E">
        <w:rPr>
          <w:rFonts w:ascii="Times New Roman" w:hAnsi="Times New Roman" w:cs="Times New Roman"/>
        </w:rPr>
        <w:t>Méndez</w:t>
      </w:r>
      <w:r w:rsidRPr="009E1C12">
        <w:rPr>
          <w:rFonts w:asciiTheme="majorBidi" w:hAnsiTheme="majorBidi" w:cstheme="majorBidi"/>
        </w:rPr>
        <w:t xml:space="preserve"> in recognizing these protections).</w:t>
      </w:r>
    </w:p>
  </w:footnote>
  <w:footnote w:id="175">
    <w:p w14:paraId="0C4ADFFB" w14:textId="13FEBA6C"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Stanev v. </w:t>
      </w:r>
      <w:r w:rsidRPr="00100B2B">
        <w:rPr>
          <w:rFonts w:asciiTheme="majorBidi" w:hAnsiTheme="majorBidi" w:cstheme="majorBidi"/>
          <w:i/>
        </w:rPr>
        <w:t xml:space="preserve">Bulgaria, </w:t>
      </w:r>
      <w:r w:rsidRPr="00B57B6A">
        <w:rPr>
          <w:rFonts w:asciiTheme="majorBidi" w:hAnsiTheme="majorBidi" w:cstheme="majorBidi"/>
          <w:i/>
          <w:iCs/>
        </w:rPr>
        <w:t>supra</w:t>
      </w:r>
      <w:r w:rsidRPr="00B57B6A">
        <w:rPr>
          <w:rFonts w:asciiTheme="majorBidi" w:hAnsiTheme="majorBidi" w:cstheme="majorBidi"/>
          <w:i/>
        </w:rPr>
        <w:t xml:space="preserve"> </w:t>
      </w:r>
      <w:r w:rsidRPr="00B57B6A">
        <w:rPr>
          <w:rFonts w:asciiTheme="majorBidi" w:hAnsiTheme="majorBidi" w:cstheme="majorBidi"/>
          <w:iCs/>
        </w:rPr>
        <w:t>note</w:t>
      </w:r>
      <w:r w:rsidRPr="00B57B6A">
        <w:rPr>
          <w:rFonts w:asciiTheme="majorBidi" w:hAnsiTheme="majorBidi" w:cstheme="majorBidi"/>
          <w:i/>
        </w:rPr>
        <w:t xml:space="preserve"> </w:t>
      </w:r>
      <w:r>
        <w:rPr>
          <w:rFonts w:asciiTheme="majorBidi" w:hAnsiTheme="majorBidi" w:cstheme="majorBidi"/>
          <w:i/>
        </w:rPr>
        <w:fldChar w:fldCharType="begin"/>
      </w:r>
      <w:r>
        <w:rPr>
          <w:rFonts w:asciiTheme="majorBidi" w:hAnsiTheme="majorBidi" w:cstheme="majorBidi"/>
          <w:i/>
        </w:rPr>
        <w:instrText xml:space="preserve"> NOTEREF _Ref471314804 \h </w:instrText>
      </w:r>
      <w:r>
        <w:rPr>
          <w:rFonts w:asciiTheme="majorBidi" w:hAnsiTheme="majorBidi" w:cstheme="majorBidi"/>
          <w:i/>
        </w:rPr>
      </w:r>
      <w:r>
        <w:rPr>
          <w:rFonts w:asciiTheme="majorBidi" w:hAnsiTheme="majorBidi" w:cstheme="majorBidi"/>
          <w:i/>
        </w:rPr>
        <w:fldChar w:fldCharType="separate"/>
      </w:r>
      <w:r>
        <w:rPr>
          <w:rFonts w:asciiTheme="majorBidi" w:hAnsiTheme="majorBidi" w:cstheme="majorBidi"/>
          <w:i/>
        </w:rPr>
        <w:t>33</w:t>
      </w:r>
      <w:r>
        <w:rPr>
          <w:rFonts w:asciiTheme="majorBidi" w:hAnsiTheme="majorBidi" w:cstheme="majorBidi"/>
          <w:i/>
        </w:rPr>
        <w:fldChar w:fldCharType="end"/>
      </w:r>
      <w:r w:rsidRPr="00B56E67">
        <w:rPr>
          <w:rFonts w:asciiTheme="majorBidi" w:hAnsiTheme="majorBidi" w:cstheme="majorBidi"/>
        </w:rPr>
        <w:t>, at</w:t>
      </w:r>
      <w:r w:rsidRPr="00B57B6A">
        <w:rPr>
          <w:rFonts w:asciiTheme="majorBidi" w:hAnsiTheme="majorBidi" w:cstheme="majorBidi"/>
        </w:rPr>
        <w:t xml:space="preserve"> para</w:t>
      </w:r>
      <w:r>
        <w:rPr>
          <w:rFonts w:asciiTheme="majorBidi" w:hAnsiTheme="majorBidi" w:cstheme="majorBidi"/>
          <w:i/>
        </w:rPr>
        <w:t>.</w:t>
      </w:r>
      <w:r w:rsidRPr="009E1C12">
        <w:rPr>
          <w:rFonts w:asciiTheme="majorBidi" w:hAnsiTheme="majorBidi" w:cstheme="majorBidi"/>
          <w:i/>
        </w:rPr>
        <w:t xml:space="preserve"> </w:t>
      </w:r>
      <w:r w:rsidRPr="009E1C12">
        <w:rPr>
          <w:rFonts w:asciiTheme="majorBidi" w:hAnsiTheme="majorBidi" w:cstheme="majorBidi"/>
        </w:rPr>
        <w:t>211</w:t>
      </w:r>
    </w:p>
  </w:footnote>
  <w:footnote w:id="176">
    <w:p w14:paraId="270FCB40" w14:textId="73D8303B" w:rsidR="001A3CF6" w:rsidRPr="009E1C12" w:rsidRDefault="001A3CF6" w:rsidP="005918BA">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Office of the High Commissioner for Human Rights, </w:t>
      </w:r>
      <w:r w:rsidRPr="009E1C12">
        <w:rPr>
          <w:rFonts w:asciiTheme="majorBidi" w:eastAsia="Cambria" w:hAnsiTheme="majorBidi" w:cstheme="majorBidi"/>
          <w:smallCaps/>
        </w:rPr>
        <w:t>Expert Seminar on Freedom from Torture and Ill Treatment and Persons with Disabilities</w:t>
      </w:r>
      <w:r w:rsidRPr="00FF3EB3">
        <w:rPr>
          <w:rFonts w:asciiTheme="majorBidi" w:eastAsia="Cambria" w:hAnsiTheme="majorBidi" w:cstheme="majorBidi"/>
          <w:smallCaps/>
        </w:rPr>
        <w:t xml:space="preserve"> Report</w:t>
      </w:r>
      <w:r w:rsidRPr="009E1C12">
        <w:rPr>
          <w:rFonts w:asciiTheme="majorBidi" w:hAnsiTheme="majorBidi" w:cstheme="majorBidi"/>
        </w:rPr>
        <w:t xml:space="preserve">, </w:t>
      </w:r>
      <w:r w:rsidRPr="00FF3EB3">
        <w:rPr>
          <w:rFonts w:asciiTheme="majorBidi" w:hAnsiTheme="majorBidi" w:cstheme="majorBidi"/>
        </w:rPr>
        <w:t xml:space="preserve">(United Nations Office Geneva, </w:t>
      </w:r>
      <w:r w:rsidRPr="009E1C12">
        <w:rPr>
          <w:rFonts w:asciiTheme="majorBidi" w:hAnsiTheme="majorBidi" w:cstheme="majorBidi"/>
        </w:rPr>
        <w:t>2007</w:t>
      </w:r>
      <w:r w:rsidRPr="00FF3EB3">
        <w:rPr>
          <w:rFonts w:asciiTheme="majorBidi" w:hAnsiTheme="majorBidi" w:cstheme="majorBidi"/>
        </w:rPr>
        <w:t>)</w:t>
      </w:r>
      <w:r>
        <w:rPr>
          <w:rFonts w:asciiTheme="majorBidi" w:hAnsiTheme="majorBidi" w:cstheme="majorBidi"/>
        </w:rPr>
        <w:t xml:space="preserve"> [hereinafter “OHCHR Expert Seminar”]</w:t>
      </w:r>
      <w:r w:rsidRPr="009E1C12">
        <w:rPr>
          <w:rFonts w:asciiTheme="majorBidi" w:hAnsiTheme="majorBidi" w:cstheme="majorBidi"/>
        </w:rPr>
        <w:t>.</w:t>
      </w:r>
    </w:p>
  </w:footnote>
  <w:footnote w:id="177">
    <w:p w14:paraId="0B59D1A2" w14:textId="2F67F49E" w:rsidR="001A3CF6" w:rsidRPr="009E1C12" w:rsidRDefault="001A3CF6" w:rsidP="001D4751">
      <w:pPr>
        <w:pStyle w:val="FootnoteText"/>
        <w:rPr>
          <w:rFonts w:asciiTheme="majorBidi" w:hAnsiTheme="majorBidi" w:cstheme="majorBidi"/>
          <w:b/>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See</w:t>
      </w:r>
      <w:r w:rsidRPr="009E1C12">
        <w:rPr>
          <w:rFonts w:asciiTheme="majorBidi" w:hAnsiTheme="majorBidi" w:cstheme="majorBidi"/>
          <w:b/>
        </w:rPr>
        <w:t xml:space="preserve"> </w:t>
      </w:r>
      <w:r w:rsidRPr="009E1C12">
        <w:rPr>
          <w:rFonts w:asciiTheme="majorBidi" w:hAnsiTheme="majorBidi" w:cstheme="majorBidi"/>
        </w:rPr>
        <w:t xml:space="preserve">Disability Rights International, </w:t>
      </w:r>
      <w:r>
        <w:rPr>
          <w:rFonts w:asciiTheme="majorBidi" w:hAnsiTheme="majorBidi" w:cstheme="majorBidi"/>
          <w:smallCaps/>
        </w:rPr>
        <w:t>Behind Closed Doors: Human Rights Abuses in Psychiatric Facilities, Orphanages and Rehabilitation Centers for Turkey, 12</w:t>
      </w:r>
      <w:r w:rsidRPr="009E1C12">
        <w:rPr>
          <w:rFonts w:asciiTheme="majorBidi" w:hAnsiTheme="majorBidi" w:cstheme="majorBidi"/>
        </w:rPr>
        <w:t xml:space="preserve"> </w:t>
      </w:r>
      <w:r>
        <w:rPr>
          <w:rFonts w:asciiTheme="majorBidi" w:hAnsiTheme="majorBidi" w:cstheme="majorBidi"/>
        </w:rPr>
        <w:t>(2005</w:t>
      </w:r>
      <w:r w:rsidRPr="006F38B8">
        <w:rPr>
          <w:rFonts w:asciiTheme="majorBidi" w:hAnsiTheme="majorBidi" w:cstheme="majorBidi"/>
        </w:rPr>
        <w:t xml:space="preserve">), </w:t>
      </w:r>
      <w:hyperlink r:id="rId21" w:history="1">
        <w:r w:rsidRPr="00FD2755">
          <w:rPr>
            <w:rStyle w:val="Hyperlink"/>
            <w:rFonts w:asciiTheme="majorBidi" w:hAnsiTheme="majorBidi" w:cstheme="majorBidi"/>
          </w:rPr>
          <w:t>http://www.driadvocacy.org/wp-content/uploads/turkey-final-9-26-05.pdf</w:t>
        </w:r>
      </w:hyperlink>
      <w:r>
        <w:rPr>
          <w:rFonts w:asciiTheme="majorBidi" w:hAnsiTheme="majorBidi" w:cstheme="majorBidi"/>
        </w:rPr>
        <w:t xml:space="preserve">.  </w:t>
      </w:r>
    </w:p>
  </w:footnote>
  <w:footnote w:id="178">
    <w:p w14:paraId="0A03819D" w14:textId="59879B49" w:rsidR="001A3CF6" w:rsidRPr="009E1C12" w:rsidRDefault="001A3CF6" w:rsidP="00775282">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Mental Disability Rights International, </w:t>
      </w:r>
      <w:r w:rsidRPr="009E1C12">
        <w:rPr>
          <w:rFonts w:asciiTheme="majorBidi" w:eastAsia="Cambria" w:hAnsiTheme="majorBidi" w:cstheme="majorBidi"/>
          <w:smallCaps/>
        </w:rPr>
        <w:t>Torment not Treatment: Serbia’s Segregation and Abuse of Children and Adults with Disabilities</w:t>
      </w:r>
      <w:r>
        <w:rPr>
          <w:rFonts w:asciiTheme="majorBidi" w:eastAsia="Cambria" w:hAnsiTheme="majorBidi" w:cstheme="majorBidi"/>
          <w:smallCaps/>
        </w:rPr>
        <w:t>, 16</w:t>
      </w:r>
      <w:r w:rsidRPr="009E1C12">
        <w:rPr>
          <w:rFonts w:asciiTheme="majorBidi" w:hAnsiTheme="majorBidi" w:cstheme="majorBidi"/>
        </w:rPr>
        <w:t xml:space="preserve"> (2007)</w:t>
      </w:r>
      <w:r>
        <w:rPr>
          <w:rFonts w:asciiTheme="majorBidi" w:hAnsiTheme="majorBidi" w:cstheme="majorBidi"/>
        </w:rPr>
        <w:t>,</w:t>
      </w:r>
      <w:r w:rsidRPr="00FF3EB3">
        <w:rPr>
          <w:rFonts w:asciiTheme="majorBidi" w:hAnsiTheme="majorBidi" w:cstheme="majorBidi"/>
        </w:rPr>
        <w:t xml:space="preserve"> </w:t>
      </w:r>
      <w:hyperlink r:id="rId22" w:history="1">
        <w:r w:rsidRPr="00FD2755">
          <w:rPr>
            <w:rStyle w:val="Hyperlink"/>
            <w:rFonts w:asciiTheme="majorBidi" w:hAnsiTheme="majorBidi" w:cstheme="majorBidi"/>
          </w:rPr>
          <w:t>http://www.driadvocacy.org/wp-content/uploads/Serbia-rep-english.pdf</w:t>
        </w:r>
      </w:hyperlink>
      <w:r>
        <w:rPr>
          <w:rFonts w:asciiTheme="majorBidi" w:hAnsiTheme="majorBidi" w:cstheme="majorBidi"/>
        </w:rPr>
        <w:t>. [hereinafter MDRI Serbia].</w:t>
      </w:r>
    </w:p>
  </w:footnote>
  <w:footnote w:id="179">
    <w:p w14:paraId="43902021" w14:textId="2AE26BBE" w:rsidR="001A3CF6" w:rsidRPr="006863FC" w:rsidRDefault="001A3CF6" w:rsidP="00775282">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 xml:space="preserve">OHCHR Expert </w:t>
      </w:r>
      <w:r w:rsidRPr="006863FC">
        <w:rPr>
          <w:rFonts w:asciiTheme="majorBidi" w:hAnsiTheme="majorBidi" w:cstheme="majorBidi"/>
        </w:rPr>
        <w:t>Seminar,</w:t>
      </w:r>
      <w:r w:rsidRPr="006863FC" w:rsidDel="006947CE">
        <w:rPr>
          <w:rFonts w:asciiTheme="majorBidi" w:hAnsiTheme="majorBidi" w:cstheme="majorBidi"/>
        </w:rPr>
        <w:t xml:space="preserve"> </w:t>
      </w:r>
      <w:r w:rsidRPr="00B57B6A">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_Ref339836709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176</w:t>
      </w:r>
      <w:r>
        <w:rPr>
          <w:rFonts w:asciiTheme="majorBidi" w:hAnsiTheme="majorBidi" w:cstheme="majorBidi"/>
        </w:rPr>
        <w:fldChar w:fldCharType="end"/>
      </w:r>
      <w:r>
        <w:rPr>
          <w:rFonts w:asciiTheme="majorBidi" w:hAnsiTheme="majorBidi" w:cstheme="majorBidi"/>
        </w:rPr>
        <w:t xml:space="preserve"> </w:t>
      </w:r>
      <w:r w:rsidRPr="006863FC">
        <w:rPr>
          <w:rFonts w:asciiTheme="majorBidi" w:hAnsiTheme="majorBidi" w:cstheme="majorBidi"/>
        </w:rPr>
        <w:t>at 5.</w:t>
      </w:r>
    </w:p>
  </w:footnote>
  <w:footnote w:id="180">
    <w:p w14:paraId="0B2D5F65" w14:textId="3C689652" w:rsidR="001A3CF6" w:rsidRPr="006863FC" w:rsidRDefault="001A3CF6" w:rsidP="007E78FC">
      <w:pPr>
        <w:pStyle w:val="FootnoteText"/>
        <w:rPr>
          <w:rFonts w:asciiTheme="majorBidi" w:hAnsiTheme="majorBidi" w:cstheme="majorBidi"/>
          <w:smallCaps/>
        </w:rPr>
      </w:pPr>
      <w:r w:rsidRPr="006863FC">
        <w:rPr>
          <w:rStyle w:val="FootnoteReference"/>
          <w:rFonts w:asciiTheme="majorBidi" w:hAnsiTheme="majorBidi" w:cstheme="majorBidi"/>
        </w:rPr>
        <w:footnoteRef/>
      </w:r>
      <w:r w:rsidRPr="006863FC">
        <w:rPr>
          <w:rFonts w:asciiTheme="majorBidi" w:hAnsiTheme="majorBidi" w:cstheme="majorBidi"/>
        </w:rPr>
        <w:t xml:space="preserve"> These arguments were spelled out further in DRI’s challenge of the use of electric shock as a form of behavior modification on children detained at the Judge Rotenberg School in Massachusetts. </w:t>
      </w:r>
      <w:r w:rsidRPr="006863FC">
        <w:rPr>
          <w:rFonts w:asciiTheme="majorBidi" w:hAnsiTheme="majorBidi" w:cstheme="majorBidi"/>
          <w:i/>
        </w:rPr>
        <w:t xml:space="preserve">See </w:t>
      </w:r>
      <w:r w:rsidRPr="006863FC">
        <w:rPr>
          <w:rFonts w:asciiTheme="majorBidi" w:hAnsiTheme="majorBidi" w:cstheme="majorBidi"/>
        </w:rPr>
        <w:t>Mental Disability Rights International</w:t>
      </w:r>
      <w:r w:rsidRPr="006863FC">
        <w:rPr>
          <w:rFonts w:asciiTheme="majorBidi" w:hAnsiTheme="majorBidi" w:cstheme="majorBidi"/>
          <w:smallCaps/>
        </w:rPr>
        <w:t xml:space="preserve">, </w:t>
      </w:r>
      <w:r w:rsidRPr="006863FC">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_Ref471737641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213</w:t>
      </w:r>
      <w:r>
        <w:rPr>
          <w:rFonts w:asciiTheme="majorBidi" w:hAnsiTheme="majorBidi" w:cstheme="majorBidi"/>
        </w:rPr>
        <w:fldChar w:fldCharType="end"/>
      </w:r>
      <w:r w:rsidRPr="006863FC">
        <w:rPr>
          <w:rFonts w:asciiTheme="majorBidi" w:hAnsiTheme="majorBidi" w:cstheme="majorBidi"/>
        </w:rPr>
        <w:t>,</w:t>
      </w:r>
      <w:r w:rsidRPr="006863FC">
        <w:rPr>
          <w:rFonts w:asciiTheme="majorBidi" w:hAnsiTheme="majorBidi" w:cstheme="majorBidi"/>
          <w:smallCaps/>
        </w:rPr>
        <w:t xml:space="preserve"> 20-22.</w:t>
      </w:r>
    </w:p>
  </w:footnote>
  <w:footnote w:id="181">
    <w:p w14:paraId="66B14B27" w14:textId="3C689A94" w:rsidR="001A3CF6" w:rsidRPr="006863FC" w:rsidRDefault="001A3CF6" w:rsidP="00482183">
      <w:pPr>
        <w:pStyle w:val="FootnoteText"/>
        <w:rPr>
          <w:rFonts w:asciiTheme="majorBidi" w:hAnsiTheme="majorBidi" w:cstheme="majorBidi"/>
        </w:rPr>
      </w:pPr>
      <w:r w:rsidRPr="006863FC">
        <w:rPr>
          <w:rStyle w:val="FootnoteReference"/>
          <w:rFonts w:asciiTheme="majorBidi" w:hAnsiTheme="majorBidi" w:cstheme="majorBidi"/>
        </w:rPr>
        <w:footnoteRef/>
      </w:r>
      <w:r w:rsidRPr="006863FC">
        <w:rPr>
          <w:rFonts w:asciiTheme="majorBidi" w:hAnsiTheme="majorBidi" w:cstheme="majorBidi"/>
        </w:rPr>
        <w:t xml:space="preserve"> Id. D</w:t>
      </w:r>
      <w:r>
        <w:rPr>
          <w:rFonts w:asciiTheme="majorBidi" w:hAnsiTheme="majorBidi" w:cstheme="majorBidi"/>
        </w:rPr>
        <w:t>RI (then known as MDRI</w:t>
      </w:r>
      <w:r w:rsidRPr="006863FC">
        <w:rPr>
          <w:rFonts w:asciiTheme="majorBidi" w:hAnsiTheme="majorBidi" w:cstheme="majorBidi"/>
        </w:rPr>
        <w:t xml:space="preserve">) made this case as part of </w:t>
      </w:r>
      <w:r>
        <w:rPr>
          <w:rFonts w:asciiTheme="majorBidi" w:hAnsiTheme="majorBidi" w:cstheme="majorBidi"/>
        </w:rPr>
        <w:t>its</w:t>
      </w:r>
      <w:r w:rsidRPr="006863FC">
        <w:rPr>
          <w:rFonts w:asciiTheme="majorBidi" w:hAnsiTheme="majorBidi" w:cstheme="majorBidi"/>
        </w:rPr>
        <w:t xml:space="preserve"> report on abuses in Serbian institutions, </w:t>
      </w:r>
      <w:r>
        <w:rPr>
          <w:rFonts w:asciiTheme="majorBidi" w:hAnsiTheme="majorBidi" w:cstheme="majorBidi"/>
        </w:rPr>
        <w:t>arguing</w:t>
      </w:r>
      <w:r w:rsidRPr="006863FC">
        <w:rPr>
          <w:rFonts w:asciiTheme="majorBidi" w:hAnsiTheme="majorBidi" w:cstheme="majorBidi"/>
        </w:rPr>
        <w:t xml:space="preserve"> that the deprivation of liberty constitutes a form discrimination under the CRPD. </w:t>
      </w:r>
      <w:r>
        <w:rPr>
          <w:rFonts w:asciiTheme="majorBidi" w:hAnsiTheme="majorBidi" w:cstheme="majorBidi"/>
        </w:rPr>
        <w:t xml:space="preserve"> MDRI Serbia, </w:t>
      </w:r>
      <w:r>
        <w:rPr>
          <w:rFonts w:asciiTheme="majorBidi" w:hAnsiTheme="majorBidi" w:cstheme="majorBidi"/>
          <w:i/>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_Ref471311458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178</w:t>
      </w:r>
      <w:r>
        <w:rPr>
          <w:rFonts w:asciiTheme="majorBidi" w:hAnsiTheme="majorBidi" w:cstheme="majorBidi"/>
        </w:rPr>
        <w:fldChar w:fldCharType="end"/>
      </w:r>
      <w:r>
        <w:rPr>
          <w:rFonts w:asciiTheme="majorBidi" w:hAnsiTheme="majorBidi" w:cstheme="majorBidi"/>
        </w:rPr>
        <w:t>, at 26.</w:t>
      </w:r>
    </w:p>
  </w:footnote>
  <w:footnote w:id="182">
    <w:p w14:paraId="766FD183" w14:textId="471C8465" w:rsidR="001A3CF6" w:rsidRPr="004E280D" w:rsidRDefault="001A3CF6">
      <w:pPr>
        <w:pStyle w:val="FootnoteText"/>
        <w:rPr>
          <w:rFonts w:ascii="Times New Roman" w:hAnsi="Times New Roman" w:cs="Times New Roman"/>
        </w:rPr>
      </w:pPr>
      <w:r>
        <w:rPr>
          <w:rStyle w:val="FootnoteReference"/>
        </w:rPr>
        <w:footnoteRef/>
      </w:r>
      <w:r>
        <w:t xml:space="preserve"> </w:t>
      </w:r>
      <w:r w:rsidRPr="004E280D">
        <w:rPr>
          <w:rFonts w:ascii="Times New Roman" w:hAnsi="Times New Roman" w:cs="Times New Roman"/>
        </w:rPr>
        <w:t xml:space="preserve">The original raw footage from Serbian orphanages is on file with the author.  NBC Nightly News broadcast part of this video posted on the Disability Rights International website at </w:t>
      </w:r>
      <w:hyperlink r:id="rId23" w:history="1">
        <w:r w:rsidRPr="004E280D">
          <w:rPr>
            <w:rStyle w:val="Hyperlink"/>
            <w:rFonts w:ascii="Times New Roman" w:hAnsi="Times New Roman" w:cs="Times New Roman"/>
          </w:rPr>
          <w:t>http://www.driadvocacy.org/media-gallery/</w:t>
        </w:r>
      </w:hyperlink>
      <w:r w:rsidRPr="004E280D">
        <w:rPr>
          <w:rFonts w:ascii="Times New Roman" w:hAnsi="Times New Roman" w:cs="Times New Roman"/>
        </w:rPr>
        <w:t xml:space="preserve"> </w:t>
      </w:r>
    </w:p>
  </w:footnote>
  <w:footnote w:id="183">
    <w:p w14:paraId="3A9D107A" w14:textId="270791E6" w:rsidR="001A3CF6" w:rsidRPr="004E280D" w:rsidRDefault="001A3CF6" w:rsidP="0034470B">
      <w:pPr>
        <w:pStyle w:val="FootnoteText"/>
        <w:rPr>
          <w:rFonts w:ascii="Times New Roman" w:hAnsi="Times New Roman" w:cs="Times New Roman"/>
        </w:rPr>
      </w:pPr>
      <w:r w:rsidRPr="004E280D">
        <w:rPr>
          <w:rStyle w:val="FootnoteReference"/>
          <w:rFonts w:ascii="Times New Roman" w:hAnsi="Times New Roman" w:cs="Times New Roman"/>
        </w:rPr>
        <w:footnoteRef/>
      </w:r>
      <w:r w:rsidRPr="004E280D">
        <w:rPr>
          <w:rFonts w:ascii="Times New Roman" w:hAnsi="Times New Roman" w:cs="Times New Roman"/>
        </w:rPr>
        <w:t xml:space="preserve"> OHCHR Expert Seminar,</w:t>
      </w:r>
      <w:r w:rsidRPr="004E280D" w:rsidDel="006947CE">
        <w:rPr>
          <w:rFonts w:ascii="Times New Roman" w:hAnsi="Times New Roman" w:cs="Times New Roman"/>
        </w:rPr>
        <w:t xml:space="preserve"> </w:t>
      </w:r>
      <w:r w:rsidRPr="004E280D">
        <w:rPr>
          <w:rFonts w:ascii="Times New Roman" w:hAnsi="Times New Roman" w:cs="Times New Roman"/>
          <w:i/>
        </w:rPr>
        <w:t>supra</w:t>
      </w:r>
      <w:r>
        <w:rPr>
          <w:rFonts w:ascii="Times New Roman" w:hAnsi="Times New Roman" w:cs="Times New Roman"/>
        </w:rPr>
        <w:t xml:space="preserve"> note </w:t>
      </w:r>
      <w:r>
        <w:rPr>
          <w:rFonts w:ascii="Times New Roman" w:hAnsi="Times New Roman" w:cs="Times New Roman"/>
        </w:rPr>
        <w:fldChar w:fldCharType="begin"/>
      </w:r>
      <w:r>
        <w:rPr>
          <w:rFonts w:ascii="Times New Roman" w:hAnsi="Times New Roman" w:cs="Times New Roman"/>
        </w:rPr>
        <w:instrText xml:space="preserve"> NOTEREF _Ref339836709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176</w:t>
      </w:r>
      <w:r>
        <w:rPr>
          <w:rFonts w:ascii="Times New Roman" w:hAnsi="Times New Roman" w:cs="Times New Roman"/>
        </w:rPr>
        <w:fldChar w:fldCharType="end"/>
      </w:r>
      <w:r w:rsidRPr="004E280D">
        <w:rPr>
          <w:rFonts w:ascii="Times New Roman" w:hAnsi="Times New Roman" w:cs="Times New Roman"/>
        </w:rPr>
        <w:t>, at 5.</w:t>
      </w:r>
    </w:p>
  </w:footnote>
  <w:footnote w:id="184">
    <w:p w14:paraId="368DF515" w14:textId="0D5B05AC" w:rsidR="001A3CF6" w:rsidRPr="00B57B6A" w:rsidRDefault="001A3CF6" w:rsidP="00277D61">
      <w:pPr>
        <w:pStyle w:val="FootnoteText"/>
        <w:rPr>
          <w:rFonts w:ascii="Times New Roman" w:hAnsi="Times New Roman" w:cs="Times New Roman"/>
          <w:highlight w:val="yellow"/>
        </w:rPr>
      </w:pPr>
      <w:r w:rsidRPr="00B57B6A">
        <w:rPr>
          <w:rStyle w:val="FootnoteReference"/>
          <w:rFonts w:ascii="Times New Roman" w:hAnsi="Times New Roman" w:cs="Times New Roman"/>
        </w:rPr>
        <w:footnoteRef/>
      </w:r>
      <w:r w:rsidRPr="00B57B6A">
        <w:rPr>
          <w:rFonts w:ascii="Times New Roman" w:hAnsi="Times New Roman" w:cs="Times New Roman"/>
        </w:rPr>
        <w:t xml:space="preserve"> UN Human Rights Council, </w:t>
      </w:r>
      <w:r w:rsidRPr="00B57B6A">
        <w:rPr>
          <w:rFonts w:ascii="Times New Roman" w:hAnsi="Times New Roman" w:cs="Times New Roman"/>
          <w:i/>
        </w:rPr>
        <w:t>Report of the Special Rapporteur of the Human Rights Council on Torture and Other Cruel, Inhuman or Degrading Treatment or Punishment</w:t>
      </w:r>
      <w:r w:rsidRPr="00B57B6A">
        <w:rPr>
          <w:rFonts w:ascii="Times New Roman" w:hAnsi="Times New Roman" w:cs="Times New Roman"/>
        </w:rPr>
        <w:t>, Manfred Nowak, U.N. Doc. A/63/175 (Jul. 28, 2008)</w:t>
      </w:r>
      <w:r>
        <w:rPr>
          <w:rFonts w:ascii="Times New Roman" w:hAnsi="Times New Roman" w:cs="Times New Roman"/>
        </w:rPr>
        <w:t xml:space="preserve"> [hereinafter “Nowak 2008 Report”]. </w:t>
      </w:r>
    </w:p>
  </w:footnote>
  <w:footnote w:id="185">
    <w:p w14:paraId="7EFFFB85" w14:textId="184C70EA" w:rsidR="001A3CF6" w:rsidRPr="00B57B6A" w:rsidRDefault="001A3CF6" w:rsidP="00775282">
      <w:pPr>
        <w:pStyle w:val="FootnoteText"/>
        <w:rPr>
          <w:rFonts w:ascii="Times New Roman" w:hAnsi="Times New Roman" w:cs="Times New Roman"/>
        </w:rPr>
      </w:pPr>
      <w:r w:rsidRPr="00B57B6A">
        <w:rPr>
          <w:rStyle w:val="FootnoteReference"/>
          <w:rFonts w:ascii="Times New Roman" w:hAnsi="Times New Roman" w:cs="Times New Roman"/>
        </w:rPr>
        <w:footnoteRef/>
      </w:r>
      <w:r w:rsidRPr="00B57B6A">
        <w:rPr>
          <w:rFonts w:ascii="Times New Roman" w:hAnsi="Times New Roman" w:cs="Times New Roman"/>
        </w:rPr>
        <w:t xml:space="preserve"> </w:t>
      </w:r>
      <w:r w:rsidRPr="00B57B6A">
        <w:rPr>
          <w:rFonts w:ascii="Times New Roman" w:hAnsi="Times New Roman" w:cs="Times New Roman"/>
          <w:i/>
        </w:rPr>
        <w:t xml:space="preserve">Id. </w:t>
      </w:r>
      <w:r w:rsidRPr="00B57B6A">
        <w:rPr>
          <w:rFonts w:ascii="Times New Roman" w:hAnsi="Times New Roman" w:cs="Times New Roman"/>
        </w:rPr>
        <w:t>at para. 42 n.3.</w:t>
      </w:r>
    </w:p>
  </w:footnote>
  <w:footnote w:id="186">
    <w:p w14:paraId="3D6115CD" w14:textId="2499127B" w:rsidR="001A3CF6" w:rsidRPr="009E1C12" w:rsidRDefault="001A3CF6" w:rsidP="00775282">
      <w:pPr>
        <w:pStyle w:val="FootnoteText"/>
        <w:rPr>
          <w:rFonts w:asciiTheme="majorBidi" w:hAnsiTheme="majorBidi" w:cstheme="majorBidi"/>
        </w:rPr>
      </w:pPr>
      <w:r w:rsidRPr="00B57B6A">
        <w:rPr>
          <w:rStyle w:val="FootnoteReference"/>
          <w:rFonts w:ascii="Times New Roman" w:hAnsi="Times New Roman" w:cs="Times New Roman"/>
        </w:rPr>
        <w:footnoteRef/>
      </w:r>
      <w:r w:rsidRPr="00B57B6A">
        <w:rPr>
          <w:rFonts w:ascii="Times New Roman" w:hAnsi="Times New Roman" w:cs="Times New Roman"/>
        </w:rPr>
        <w:t xml:space="preserve"> </w:t>
      </w:r>
      <w:r w:rsidRPr="00B57B6A">
        <w:rPr>
          <w:rFonts w:ascii="Times New Roman" w:hAnsi="Times New Roman" w:cs="Times New Roman"/>
          <w:i/>
        </w:rPr>
        <w:t>Id.</w:t>
      </w:r>
      <w:r w:rsidRPr="00B57B6A">
        <w:rPr>
          <w:rFonts w:ascii="Times New Roman" w:hAnsi="Times New Roman" w:cs="Times New Roman"/>
        </w:rPr>
        <w:t xml:space="preserve"> at para. 47.</w:t>
      </w:r>
    </w:p>
  </w:footnote>
  <w:footnote w:id="187">
    <w:p w14:paraId="508E364F" w14:textId="77777777" w:rsidR="001A3CF6" w:rsidRPr="009E1C12" w:rsidRDefault="001A3CF6" w:rsidP="00775282">
      <w:pPr>
        <w:pStyle w:val="FootnoteText"/>
        <w:rPr>
          <w:rFonts w:asciiTheme="majorBidi" w:hAnsiTheme="majorBidi" w:cstheme="majorBidi"/>
          <w:i/>
          <w:lang w:val="es-MX"/>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sidRPr="009E1C12">
        <w:rPr>
          <w:rFonts w:asciiTheme="majorBidi" w:hAnsiTheme="majorBidi" w:cstheme="majorBidi"/>
          <w:i/>
          <w:lang w:val="es-MX"/>
        </w:rPr>
        <w:t>Id.</w:t>
      </w:r>
    </w:p>
  </w:footnote>
  <w:footnote w:id="188">
    <w:p w14:paraId="7AC6508F" w14:textId="3A50315E" w:rsidR="001A3CF6" w:rsidRPr="00DF1568" w:rsidRDefault="001A3CF6" w:rsidP="00775282">
      <w:pPr>
        <w:pStyle w:val="FootnoteText"/>
        <w:rPr>
          <w:rFonts w:asciiTheme="majorBidi" w:hAnsiTheme="majorBidi" w:cstheme="majorBidi"/>
          <w:lang w:val="es-MX"/>
        </w:rPr>
      </w:pPr>
      <w:r w:rsidRPr="00DF1568">
        <w:rPr>
          <w:rStyle w:val="FootnoteReference"/>
          <w:rFonts w:asciiTheme="majorBidi" w:hAnsiTheme="majorBidi" w:cstheme="majorBidi"/>
        </w:rPr>
        <w:footnoteRef/>
      </w:r>
      <w:r w:rsidRPr="00DF1568">
        <w:rPr>
          <w:rFonts w:asciiTheme="majorBidi" w:hAnsiTheme="majorBidi" w:cstheme="majorBidi"/>
          <w:lang w:val="es-MX"/>
        </w:rPr>
        <w:t xml:space="preserve"> Torture in Healthcare Report, </w:t>
      </w:r>
      <w:r w:rsidRPr="00B57B6A">
        <w:rPr>
          <w:rFonts w:asciiTheme="majorBidi" w:hAnsiTheme="majorBidi" w:cstheme="majorBidi"/>
          <w:i/>
          <w:lang w:val="es-MX"/>
        </w:rPr>
        <w:t>supra</w:t>
      </w:r>
      <w:r w:rsidRPr="00B57B6A">
        <w:rPr>
          <w:rFonts w:asciiTheme="majorBidi" w:hAnsiTheme="majorBidi" w:cstheme="majorBidi"/>
          <w:lang w:val="es-MX"/>
        </w:rPr>
        <w:t xml:space="preserve"> note </w:t>
      </w:r>
      <w:r>
        <w:rPr>
          <w:rFonts w:asciiTheme="majorBidi" w:hAnsiTheme="majorBidi" w:cstheme="majorBidi"/>
          <w:lang w:val="es-MX"/>
        </w:rPr>
        <w:fldChar w:fldCharType="begin"/>
      </w:r>
      <w:r>
        <w:rPr>
          <w:rFonts w:asciiTheme="majorBidi" w:hAnsiTheme="majorBidi" w:cstheme="majorBidi"/>
          <w:lang w:val="es-MX"/>
        </w:rPr>
        <w:instrText xml:space="preserve"> NOTEREF _Ref471315098 \h </w:instrText>
      </w:r>
      <w:r>
        <w:rPr>
          <w:rFonts w:asciiTheme="majorBidi" w:hAnsiTheme="majorBidi" w:cstheme="majorBidi"/>
          <w:lang w:val="es-MX"/>
        </w:rPr>
      </w:r>
      <w:r>
        <w:rPr>
          <w:rFonts w:asciiTheme="majorBidi" w:hAnsiTheme="majorBidi" w:cstheme="majorBidi"/>
          <w:lang w:val="es-MX"/>
        </w:rPr>
        <w:fldChar w:fldCharType="separate"/>
      </w:r>
      <w:r>
        <w:rPr>
          <w:rFonts w:asciiTheme="majorBidi" w:hAnsiTheme="majorBidi" w:cstheme="majorBidi"/>
          <w:lang w:val="es-MX"/>
        </w:rPr>
        <w:t>92</w:t>
      </w:r>
      <w:r>
        <w:rPr>
          <w:rFonts w:asciiTheme="majorBidi" w:hAnsiTheme="majorBidi" w:cstheme="majorBidi"/>
          <w:lang w:val="es-MX"/>
        </w:rPr>
        <w:fldChar w:fldCharType="end"/>
      </w:r>
      <w:r w:rsidRPr="00DF1568">
        <w:rPr>
          <w:rFonts w:asciiTheme="majorBidi" w:hAnsiTheme="majorBidi" w:cstheme="majorBidi"/>
          <w:lang w:val="es-MX"/>
        </w:rPr>
        <w:t>, para.14.</w:t>
      </w:r>
    </w:p>
  </w:footnote>
  <w:footnote w:id="189">
    <w:p w14:paraId="250D7251" w14:textId="57A72D6A" w:rsidR="001A3CF6" w:rsidRPr="00DF1568" w:rsidRDefault="001A3CF6" w:rsidP="00775282">
      <w:pPr>
        <w:pStyle w:val="FootnoteText"/>
        <w:rPr>
          <w:rFonts w:asciiTheme="majorBidi" w:hAnsiTheme="majorBidi" w:cstheme="majorBidi"/>
          <w:lang w:val="es-MX"/>
        </w:rPr>
      </w:pPr>
      <w:r w:rsidRPr="00DF1568">
        <w:rPr>
          <w:rStyle w:val="FootnoteReference"/>
          <w:rFonts w:asciiTheme="majorBidi" w:hAnsiTheme="majorBidi" w:cstheme="majorBidi"/>
        </w:rPr>
        <w:footnoteRef/>
      </w:r>
      <w:r w:rsidRPr="00DF1568">
        <w:rPr>
          <w:rFonts w:asciiTheme="majorBidi" w:hAnsiTheme="majorBidi" w:cstheme="majorBidi"/>
          <w:lang w:val="es-MX"/>
        </w:rPr>
        <w:t xml:space="preserve"> </w:t>
      </w:r>
      <w:r w:rsidRPr="00DF1568">
        <w:rPr>
          <w:rFonts w:ascii="Times New Roman" w:hAnsi="Times New Roman" w:cs="Times New Roman"/>
        </w:rPr>
        <w:t>Méndez</w:t>
      </w:r>
      <w:r w:rsidRPr="00DF1568">
        <w:rPr>
          <w:rFonts w:asciiTheme="majorBidi" w:hAnsiTheme="majorBidi" w:cstheme="majorBidi"/>
        </w:rPr>
        <w:t xml:space="preserve"> 2015 Report</w:t>
      </w:r>
      <w:r w:rsidRPr="00DF1568">
        <w:rPr>
          <w:rFonts w:asciiTheme="majorBidi" w:hAnsiTheme="majorBidi" w:cstheme="majorBidi"/>
          <w:lang w:val="es-MX"/>
        </w:rPr>
        <w:t xml:space="preserve">, </w:t>
      </w:r>
      <w:r w:rsidRPr="00B57B6A">
        <w:rPr>
          <w:rFonts w:asciiTheme="majorBidi" w:hAnsiTheme="majorBidi" w:cstheme="majorBidi"/>
          <w:i/>
          <w:lang w:val="es-MX"/>
        </w:rPr>
        <w:t>supra</w:t>
      </w:r>
      <w:r w:rsidRPr="00B57B6A">
        <w:rPr>
          <w:rFonts w:asciiTheme="majorBidi" w:hAnsiTheme="majorBidi" w:cstheme="majorBidi"/>
          <w:lang w:val="es-MX"/>
        </w:rPr>
        <w:t xml:space="preserve"> note </w:t>
      </w:r>
      <w:r w:rsidRPr="00DF1568">
        <w:rPr>
          <w:rFonts w:asciiTheme="majorBidi" w:hAnsiTheme="majorBidi" w:cstheme="majorBidi"/>
        </w:rPr>
        <w:t>2</w:t>
      </w:r>
      <w:r w:rsidRPr="00DF1568">
        <w:rPr>
          <w:rFonts w:asciiTheme="majorBidi" w:hAnsiTheme="majorBidi" w:cstheme="majorBidi"/>
          <w:lang w:val="es-MX"/>
        </w:rPr>
        <w:t>, para. 19.</w:t>
      </w:r>
    </w:p>
  </w:footnote>
  <w:footnote w:id="190">
    <w:p w14:paraId="2B7C7C35" w14:textId="269D5BAA" w:rsidR="001A3CF6" w:rsidRPr="00DF1568" w:rsidRDefault="001A3CF6" w:rsidP="004A4E81">
      <w:pPr>
        <w:pStyle w:val="FootnoteText"/>
        <w:rPr>
          <w:rFonts w:asciiTheme="majorBidi" w:hAnsiTheme="majorBidi" w:cstheme="majorBidi"/>
        </w:rPr>
      </w:pPr>
      <w:r w:rsidRPr="00DF1568">
        <w:rPr>
          <w:rStyle w:val="FootnoteReference"/>
          <w:rFonts w:asciiTheme="majorBidi" w:hAnsiTheme="majorBidi" w:cstheme="majorBidi"/>
        </w:rPr>
        <w:footnoteRef/>
      </w:r>
      <w:r w:rsidRPr="00DF1568">
        <w:rPr>
          <w:rFonts w:asciiTheme="majorBidi" w:hAnsiTheme="majorBidi" w:cstheme="majorBidi"/>
          <w:lang w:val="es-MX"/>
        </w:rPr>
        <w:t xml:space="preserve"> Torture in Healthcare Report, </w:t>
      </w:r>
      <w:r w:rsidRPr="00B57B6A">
        <w:rPr>
          <w:rFonts w:asciiTheme="majorBidi" w:hAnsiTheme="majorBidi" w:cstheme="majorBidi"/>
          <w:i/>
          <w:lang w:val="es-MX"/>
        </w:rPr>
        <w:t>supra</w:t>
      </w:r>
      <w:r w:rsidRPr="00B57B6A">
        <w:rPr>
          <w:rFonts w:asciiTheme="majorBidi" w:hAnsiTheme="majorBidi" w:cstheme="majorBidi"/>
          <w:lang w:val="es-MX"/>
        </w:rPr>
        <w:t xml:space="preserve"> note </w:t>
      </w:r>
      <w:r>
        <w:rPr>
          <w:rFonts w:asciiTheme="majorBidi" w:hAnsiTheme="majorBidi" w:cstheme="majorBidi"/>
          <w:lang w:val="es-MX"/>
        </w:rPr>
        <w:fldChar w:fldCharType="begin"/>
      </w:r>
      <w:r>
        <w:rPr>
          <w:rFonts w:asciiTheme="majorBidi" w:hAnsiTheme="majorBidi" w:cstheme="majorBidi"/>
          <w:lang w:val="es-MX"/>
        </w:rPr>
        <w:instrText xml:space="preserve"> NOTEREF _Ref471315098 \h </w:instrText>
      </w:r>
      <w:r>
        <w:rPr>
          <w:rFonts w:asciiTheme="majorBidi" w:hAnsiTheme="majorBidi" w:cstheme="majorBidi"/>
          <w:lang w:val="es-MX"/>
        </w:rPr>
      </w:r>
      <w:r>
        <w:rPr>
          <w:rFonts w:asciiTheme="majorBidi" w:hAnsiTheme="majorBidi" w:cstheme="majorBidi"/>
          <w:lang w:val="es-MX"/>
        </w:rPr>
        <w:fldChar w:fldCharType="separate"/>
      </w:r>
      <w:r>
        <w:rPr>
          <w:rFonts w:asciiTheme="majorBidi" w:hAnsiTheme="majorBidi" w:cstheme="majorBidi"/>
          <w:lang w:val="es-MX"/>
        </w:rPr>
        <w:t>92</w:t>
      </w:r>
      <w:r>
        <w:rPr>
          <w:rFonts w:asciiTheme="majorBidi" w:hAnsiTheme="majorBidi" w:cstheme="majorBidi"/>
          <w:lang w:val="es-MX"/>
        </w:rPr>
        <w:fldChar w:fldCharType="end"/>
      </w:r>
      <w:r w:rsidRPr="00DF1568">
        <w:rPr>
          <w:rFonts w:asciiTheme="majorBidi" w:hAnsiTheme="majorBidi" w:cstheme="majorBidi"/>
          <w:lang w:val="es-MX"/>
        </w:rPr>
        <w:t>,</w:t>
      </w:r>
      <w:r>
        <w:rPr>
          <w:rFonts w:asciiTheme="majorBidi" w:hAnsiTheme="majorBidi" w:cstheme="majorBidi"/>
          <w:lang w:val="es-MX"/>
        </w:rPr>
        <w:t xml:space="preserve"> </w:t>
      </w:r>
      <w:r w:rsidRPr="00DF1568">
        <w:rPr>
          <w:rFonts w:asciiTheme="majorBidi" w:hAnsiTheme="majorBidi" w:cstheme="majorBidi"/>
        </w:rPr>
        <w:t xml:space="preserve">para. 20, </w:t>
      </w:r>
      <w:r w:rsidRPr="00DF1568">
        <w:rPr>
          <w:rFonts w:asciiTheme="majorBidi" w:hAnsiTheme="majorBidi" w:cstheme="majorBidi"/>
          <w:i/>
        </w:rPr>
        <w:t>citing</w:t>
      </w:r>
      <w:r w:rsidRPr="00DF1568">
        <w:rPr>
          <w:rFonts w:asciiTheme="majorBidi" w:hAnsiTheme="majorBidi" w:cstheme="majorBidi"/>
        </w:rPr>
        <w:t xml:space="preserve"> Manfred Nowak’s earlier report A/t3/175, para. 49; </w:t>
      </w:r>
      <w:r w:rsidRPr="00DF1568">
        <w:rPr>
          <w:rFonts w:ascii="Times New Roman" w:hAnsi="Times New Roman" w:cs="Times New Roman"/>
        </w:rPr>
        <w:t>Méndez</w:t>
      </w:r>
      <w:r w:rsidRPr="00DF1568">
        <w:rPr>
          <w:rFonts w:asciiTheme="majorBidi" w:hAnsiTheme="majorBidi" w:cstheme="majorBidi"/>
        </w:rPr>
        <w:t xml:space="preserve"> 2015 Report, </w:t>
      </w:r>
      <w:r w:rsidRPr="00B57B6A">
        <w:rPr>
          <w:rFonts w:asciiTheme="majorBidi" w:hAnsiTheme="majorBidi" w:cstheme="majorBidi"/>
          <w:i/>
        </w:rPr>
        <w:t>supra</w:t>
      </w:r>
      <w:r w:rsidRPr="00B57B6A">
        <w:rPr>
          <w:rFonts w:asciiTheme="majorBidi" w:hAnsiTheme="majorBidi" w:cstheme="majorBidi"/>
        </w:rPr>
        <w:t xml:space="preserve"> note </w:t>
      </w:r>
      <w:r w:rsidRPr="00DF1568">
        <w:rPr>
          <w:rFonts w:asciiTheme="majorBidi" w:hAnsiTheme="majorBidi" w:cstheme="majorBidi"/>
        </w:rPr>
        <w:t>2, para. 4</w:t>
      </w:r>
    </w:p>
  </w:footnote>
  <w:footnote w:id="191">
    <w:p w14:paraId="61B5B4A0" w14:textId="77777777" w:rsidR="001A3CF6" w:rsidRPr="00DF1568" w:rsidRDefault="001A3CF6" w:rsidP="004A4E81">
      <w:pPr>
        <w:pStyle w:val="FootnoteText"/>
        <w:rPr>
          <w:rFonts w:asciiTheme="majorBidi" w:hAnsiTheme="majorBidi" w:cstheme="majorBidi"/>
          <w:i/>
        </w:rPr>
      </w:pPr>
      <w:r w:rsidRPr="00DF1568">
        <w:rPr>
          <w:rStyle w:val="FootnoteReference"/>
          <w:rFonts w:asciiTheme="majorBidi" w:hAnsiTheme="majorBidi" w:cstheme="majorBidi"/>
        </w:rPr>
        <w:footnoteRef/>
      </w:r>
      <w:r w:rsidRPr="00DF1568">
        <w:rPr>
          <w:rFonts w:asciiTheme="majorBidi" w:hAnsiTheme="majorBidi" w:cstheme="majorBidi"/>
        </w:rPr>
        <w:t xml:space="preserve"> </w:t>
      </w:r>
      <w:r w:rsidRPr="00DF1568">
        <w:rPr>
          <w:rFonts w:asciiTheme="majorBidi" w:hAnsiTheme="majorBidi" w:cstheme="majorBidi"/>
          <w:i/>
        </w:rPr>
        <w:t>Id.</w:t>
      </w:r>
    </w:p>
  </w:footnote>
  <w:footnote w:id="192">
    <w:p w14:paraId="4D511437" w14:textId="080A06FF" w:rsidR="001A3CF6" w:rsidRPr="00DF1568" w:rsidRDefault="001A3CF6" w:rsidP="00775282">
      <w:pPr>
        <w:pStyle w:val="FootnoteText"/>
        <w:rPr>
          <w:rFonts w:asciiTheme="majorBidi" w:hAnsiTheme="majorBidi" w:cstheme="majorBidi"/>
        </w:rPr>
      </w:pPr>
      <w:r w:rsidRPr="00DF1568">
        <w:rPr>
          <w:rStyle w:val="FootnoteReference"/>
          <w:rFonts w:asciiTheme="majorBidi" w:hAnsiTheme="majorBidi" w:cstheme="majorBidi"/>
        </w:rPr>
        <w:footnoteRef/>
      </w:r>
      <w:r w:rsidRPr="00DF1568">
        <w:rPr>
          <w:rFonts w:asciiTheme="majorBidi" w:hAnsiTheme="majorBidi" w:cstheme="majorBidi"/>
        </w:rPr>
        <w:t xml:space="preserve"> </w:t>
      </w:r>
      <w:r w:rsidRPr="00DF1568">
        <w:rPr>
          <w:rFonts w:asciiTheme="majorBidi" w:hAnsiTheme="majorBidi" w:cstheme="majorBidi"/>
          <w:lang w:val="es-MX"/>
        </w:rPr>
        <w:t xml:space="preserve">Torture in Healthcare Report, </w:t>
      </w:r>
      <w:r w:rsidRPr="00B57B6A">
        <w:rPr>
          <w:rFonts w:asciiTheme="majorBidi" w:hAnsiTheme="majorBidi" w:cstheme="majorBidi"/>
          <w:i/>
          <w:lang w:val="es-MX"/>
        </w:rPr>
        <w:t>supra</w:t>
      </w:r>
      <w:r w:rsidRPr="00B57B6A">
        <w:rPr>
          <w:rFonts w:asciiTheme="majorBidi" w:hAnsiTheme="majorBidi" w:cstheme="majorBidi"/>
          <w:lang w:val="es-MX"/>
        </w:rPr>
        <w:t xml:space="preserve"> note </w:t>
      </w:r>
      <w:r>
        <w:rPr>
          <w:rFonts w:asciiTheme="majorBidi" w:hAnsiTheme="majorBidi" w:cstheme="majorBidi"/>
          <w:lang w:val="es-MX"/>
        </w:rPr>
        <w:fldChar w:fldCharType="begin"/>
      </w:r>
      <w:r>
        <w:rPr>
          <w:rFonts w:asciiTheme="majorBidi" w:hAnsiTheme="majorBidi" w:cstheme="majorBidi"/>
          <w:lang w:val="es-MX"/>
        </w:rPr>
        <w:instrText xml:space="preserve"> NOTEREF _Ref471315098 \h </w:instrText>
      </w:r>
      <w:r>
        <w:rPr>
          <w:rFonts w:asciiTheme="majorBidi" w:hAnsiTheme="majorBidi" w:cstheme="majorBidi"/>
          <w:lang w:val="es-MX"/>
        </w:rPr>
      </w:r>
      <w:r>
        <w:rPr>
          <w:rFonts w:asciiTheme="majorBidi" w:hAnsiTheme="majorBidi" w:cstheme="majorBidi"/>
          <w:lang w:val="es-MX"/>
        </w:rPr>
        <w:fldChar w:fldCharType="separate"/>
      </w:r>
      <w:r>
        <w:rPr>
          <w:rFonts w:asciiTheme="majorBidi" w:hAnsiTheme="majorBidi" w:cstheme="majorBidi"/>
          <w:lang w:val="es-MX"/>
        </w:rPr>
        <w:t>92</w:t>
      </w:r>
      <w:r>
        <w:rPr>
          <w:rFonts w:asciiTheme="majorBidi" w:hAnsiTheme="majorBidi" w:cstheme="majorBidi"/>
          <w:lang w:val="es-MX"/>
        </w:rPr>
        <w:fldChar w:fldCharType="end"/>
      </w:r>
      <w:r w:rsidRPr="00DF1568">
        <w:rPr>
          <w:rFonts w:asciiTheme="majorBidi" w:hAnsiTheme="majorBidi" w:cstheme="majorBidi"/>
          <w:lang w:val="es-MX"/>
        </w:rPr>
        <w:t>,</w:t>
      </w:r>
      <w:r w:rsidRPr="00DF1568">
        <w:rPr>
          <w:rFonts w:asciiTheme="majorBidi" w:hAnsiTheme="majorBidi" w:cstheme="majorBidi"/>
        </w:rPr>
        <w:t xml:space="preserve"> para. 31.</w:t>
      </w:r>
    </w:p>
  </w:footnote>
  <w:footnote w:id="193">
    <w:p w14:paraId="1083EF44" w14:textId="7CA547CB" w:rsidR="001A3CF6" w:rsidRPr="00DF1568" w:rsidRDefault="001A3CF6" w:rsidP="00E42E93">
      <w:pPr>
        <w:pStyle w:val="FootnoteText"/>
        <w:rPr>
          <w:rFonts w:asciiTheme="majorBidi" w:hAnsiTheme="majorBidi" w:cstheme="majorBidi"/>
        </w:rPr>
      </w:pPr>
      <w:r w:rsidRPr="00DF1568">
        <w:rPr>
          <w:rStyle w:val="FootnoteReference"/>
          <w:rFonts w:asciiTheme="majorBidi" w:hAnsiTheme="majorBidi" w:cstheme="majorBidi"/>
        </w:rPr>
        <w:footnoteRef/>
      </w:r>
      <w:r w:rsidRPr="00DF1568">
        <w:rPr>
          <w:rFonts w:asciiTheme="majorBidi" w:hAnsiTheme="majorBidi" w:cstheme="majorBidi"/>
        </w:rPr>
        <w:t xml:space="preserve"> </w:t>
      </w:r>
      <w:r w:rsidRPr="00DF1568">
        <w:rPr>
          <w:rFonts w:ascii="Times New Roman" w:hAnsi="Times New Roman" w:cs="Times New Roman"/>
        </w:rPr>
        <w:t>Méndez</w:t>
      </w:r>
      <w:r w:rsidRPr="00DF1568">
        <w:rPr>
          <w:rFonts w:asciiTheme="majorBidi" w:hAnsiTheme="majorBidi" w:cstheme="majorBidi"/>
        </w:rPr>
        <w:t xml:space="preserve"> 2015 Report, </w:t>
      </w:r>
      <w:r w:rsidRPr="00B57B6A">
        <w:rPr>
          <w:rFonts w:asciiTheme="majorBidi" w:hAnsiTheme="majorBidi" w:cstheme="majorBidi"/>
          <w:i/>
        </w:rPr>
        <w:t>supra</w:t>
      </w:r>
      <w:r w:rsidRPr="00B57B6A">
        <w:rPr>
          <w:rFonts w:asciiTheme="majorBidi" w:hAnsiTheme="majorBidi" w:cstheme="majorBidi"/>
        </w:rPr>
        <w:t xml:space="preserve"> note </w:t>
      </w:r>
      <w:r w:rsidRPr="00DF1568">
        <w:rPr>
          <w:rFonts w:asciiTheme="majorBidi" w:hAnsiTheme="majorBidi" w:cstheme="majorBidi"/>
        </w:rPr>
        <w:t xml:space="preserve">2, para. 24, </w:t>
      </w:r>
      <w:r w:rsidRPr="00DF1568">
        <w:rPr>
          <w:rFonts w:asciiTheme="majorBidi" w:hAnsiTheme="majorBidi" w:cstheme="majorBidi"/>
          <w:i/>
        </w:rPr>
        <w:t xml:space="preserve">citing </w:t>
      </w:r>
      <w:r w:rsidRPr="00DF1568">
        <w:rPr>
          <w:rFonts w:asciiTheme="majorBidi" w:hAnsiTheme="majorBidi" w:cstheme="majorBidi"/>
        </w:rPr>
        <w:t>General Comment No. 2, para. 3.</w:t>
      </w:r>
    </w:p>
  </w:footnote>
  <w:footnote w:id="194">
    <w:p w14:paraId="307EB48F" w14:textId="73C530BB" w:rsidR="001A3CF6" w:rsidRPr="009E1C12" w:rsidRDefault="001A3CF6" w:rsidP="00775282">
      <w:pPr>
        <w:pStyle w:val="FootnoteText"/>
        <w:rPr>
          <w:rFonts w:asciiTheme="majorBidi" w:hAnsiTheme="majorBidi" w:cstheme="majorBidi"/>
        </w:rPr>
      </w:pPr>
      <w:r w:rsidRPr="001A4314">
        <w:rPr>
          <w:rStyle w:val="FootnoteReference"/>
          <w:rFonts w:asciiTheme="majorBidi" w:hAnsiTheme="majorBidi" w:cstheme="majorBidi"/>
        </w:rPr>
        <w:footnoteRef/>
      </w:r>
      <w:r w:rsidRPr="001A4314">
        <w:rPr>
          <w:rFonts w:asciiTheme="majorBidi" w:hAnsiTheme="majorBidi" w:cstheme="majorBidi"/>
        </w:rPr>
        <w:t xml:space="preserve"> </w:t>
      </w:r>
      <w:r w:rsidRPr="001A4314">
        <w:rPr>
          <w:rFonts w:asciiTheme="majorBidi" w:hAnsiTheme="majorBidi" w:cstheme="majorBidi"/>
          <w:lang w:val="es-MX"/>
        </w:rPr>
        <w:t>T</w:t>
      </w:r>
      <w:r w:rsidRPr="00524D70">
        <w:rPr>
          <w:rFonts w:asciiTheme="majorBidi" w:hAnsiTheme="majorBidi" w:cstheme="majorBidi"/>
          <w:lang w:val="es-MX"/>
        </w:rPr>
        <w:t xml:space="preserve">orture in Healthcare Report, </w:t>
      </w:r>
      <w:r w:rsidRPr="00B57B6A">
        <w:rPr>
          <w:rFonts w:asciiTheme="majorBidi" w:hAnsiTheme="majorBidi" w:cstheme="majorBidi"/>
          <w:i/>
          <w:lang w:val="es-MX"/>
        </w:rPr>
        <w:t>supra</w:t>
      </w:r>
      <w:r w:rsidRPr="00B57B6A">
        <w:rPr>
          <w:rFonts w:asciiTheme="majorBidi" w:hAnsiTheme="majorBidi" w:cstheme="majorBidi"/>
          <w:lang w:val="es-MX"/>
        </w:rPr>
        <w:t xml:space="preserve"> note </w:t>
      </w:r>
      <w:r>
        <w:rPr>
          <w:rFonts w:asciiTheme="majorBidi" w:hAnsiTheme="majorBidi" w:cstheme="majorBidi"/>
          <w:lang w:val="es-MX"/>
        </w:rPr>
        <w:fldChar w:fldCharType="begin"/>
      </w:r>
      <w:r>
        <w:rPr>
          <w:rFonts w:asciiTheme="majorBidi" w:hAnsiTheme="majorBidi" w:cstheme="majorBidi"/>
          <w:lang w:val="es-MX"/>
        </w:rPr>
        <w:instrText xml:space="preserve"> NOTEREF _Ref471315098 \h </w:instrText>
      </w:r>
      <w:r>
        <w:rPr>
          <w:rFonts w:asciiTheme="majorBidi" w:hAnsiTheme="majorBidi" w:cstheme="majorBidi"/>
          <w:lang w:val="es-MX"/>
        </w:rPr>
      </w:r>
      <w:r>
        <w:rPr>
          <w:rFonts w:asciiTheme="majorBidi" w:hAnsiTheme="majorBidi" w:cstheme="majorBidi"/>
          <w:lang w:val="es-MX"/>
        </w:rPr>
        <w:fldChar w:fldCharType="separate"/>
      </w:r>
      <w:r>
        <w:rPr>
          <w:rFonts w:asciiTheme="majorBidi" w:hAnsiTheme="majorBidi" w:cstheme="majorBidi"/>
          <w:lang w:val="es-MX"/>
        </w:rPr>
        <w:t>92</w:t>
      </w:r>
      <w:r>
        <w:rPr>
          <w:rFonts w:asciiTheme="majorBidi" w:hAnsiTheme="majorBidi" w:cstheme="majorBidi"/>
          <w:lang w:val="es-MX"/>
        </w:rPr>
        <w:fldChar w:fldCharType="end"/>
      </w:r>
      <w:r w:rsidRPr="00DF1568">
        <w:rPr>
          <w:rFonts w:asciiTheme="majorBidi" w:hAnsiTheme="majorBidi" w:cstheme="majorBidi"/>
          <w:lang w:val="es-MX"/>
        </w:rPr>
        <w:t>,</w:t>
      </w:r>
      <w:r w:rsidRPr="001A4314">
        <w:rPr>
          <w:rFonts w:asciiTheme="majorBidi" w:hAnsiTheme="majorBidi" w:cstheme="majorBidi"/>
        </w:rPr>
        <w:t xml:space="preserve"> para. 84.</w:t>
      </w:r>
    </w:p>
  </w:footnote>
  <w:footnote w:id="195">
    <w:p w14:paraId="788AFBA8" w14:textId="5402934A" w:rsidR="001A3CF6" w:rsidRPr="009E1C12" w:rsidRDefault="001A3CF6" w:rsidP="00C7588D">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w:t>
      </w:r>
      <w:r w:rsidRPr="009E1C12">
        <w:rPr>
          <w:rFonts w:asciiTheme="majorBidi" w:hAnsiTheme="majorBidi" w:cstheme="majorBidi"/>
        </w:rPr>
        <w:t xml:space="preserve">Eric Rosenthal, Elizabeth Bauer, Mary F. Hayden, and Andrea Holley, </w:t>
      </w:r>
      <w:r w:rsidRPr="009E1C12">
        <w:rPr>
          <w:rFonts w:asciiTheme="majorBidi" w:hAnsiTheme="majorBidi" w:cstheme="majorBidi"/>
          <w:i/>
          <w:iCs/>
        </w:rPr>
        <w:t>Implementing the Right to Community Integration for Children with Disabilities in Russia: A Human Rights Framework for International Action</w:t>
      </w:r>
      <w:r w:rsidRPr="009E1C12">
        <w:rPr>
          <w:rFonts w:asciiTheme="majorBidi" w:hAnsiTheme="majorBidi" w:cstheme="majorBidi"/>
        </w:rPr>
        <w:t xml:space="preserve">, 4(1) </w:t>
      </w:r>
      <w:r w:rsidRPr="009E1C12">
        <w:rPr>
          <w:rFonts w:asciiTheme="majorBidi" w:eastAsia="Cambria" w:hAnsiTheme="majorBidi" w:cstheme="majorBidi"/>
          <w:smallCaps/>
        </w:rPr>
        <w:t>Health and Human Rights</w:t>
      </w:r>
      <w:r w:rsidRPr="009E1C12">
        <w:rPr>
          <w:rFonts w:asciiTheme="majorBidi" w:hAnsiTheme="majorBidi" w:cstheme="majorBidi"/>
        </w:rPr>
        <w:t xml:space="preserve"> 83, 89 (1999)</w:t>
      </w:r>
      <w:r w:rsidRPr="008F50FE">
        <w:rPr>
          <w:rFonts w:asciiTheme="majorBidi" w:hAnsiTheme="majorBidi" w:cstheme="majorBidi"/>
        </w:rPr>
        <w:t xml:space="preserve"> </w:t>
      </w:r>
      <w:r w:rsidRPr="009E1C12">
        <w:rPr>
          <w:rFonts w:asciiTheme="majorBidi" w:hAnsiTheme="majorBidi" w:cstheme="majorBidi"/>
        </w:rPr>
        <w:t>(describing lessons learned from Romania and its impact on reform in other countries).</w:t>
      </w:r>
    </w:p>
  </w:footnote>
  <w:footnote w:id="196">
    <w:p w14:paraId="06E549CE" w14:textId="5CECCD7B" w:rsidR="001A3CF6" w:rsidRPr="009E1C12" w:rsidRDefault="001A3CF6" w:rsidP="0027364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One study found that in the six years after the fall of </w:t>
      </w:r>
      <w:r w:rsidRPr="00B57B6A">
        <w:rPr>
          <w:rStyle w:val="Emphasis"/>
          <w:rFonts w:ascii="Times New Roman" w:hAnsi="Times New Roman" w:cs="Times New Roman"/>
          <w:bCs/>
          <w:i w:val="0"/>
          <w:iCs w:val="0"/>
          <w:color w:val="6A6A6A"/>
          <w:shd w:val="clear" w:color="auto" w:fill="FFFFFF"/>
        </w:rPr>
        <w:t>Ceaușescu</w:t>
      </w:r>
      <w:r w:rsidRPr="00B57B6A">
        <w:rPr>
          <w:rFonts w:ascii="Times New Roman" w:hAnsi="Times New Roman" w:cs="Times New Roman"/>
        </w:rPr>
        <w:t>, from 1989 to 1995, there were at least 10,000 new placements of children with disabilities and the overall orphanage</w:t>
      </w:r>
      <w:r w:rsidRPr="009E1C12">
        <w:rPr>
          <w:rFonts w:asciiTheme="majorBidi" w:hAnsiTheme="majorBidi" w:cstheme="majorBidi"/>
        </w:rPr>
        <w:t xml:space="preserve"> population increased by nearly 37%. UNICEF, </w:t>
      </w:r>
      <w:r w:rsidRPr="009E1C12">
        <w:rPr>
          <w:rFonts w:asciiTheme="majorBidi" w:hAnsiTheme="majorBidi" w:cstheme="majorBidi"/>
          <w:i/>
        </w:rPr>
        <w:t xml:space="preserve">Children at Risk in Central and Eastern Europe: Perils and Promises </w:t>
      </w:r>
      <w:r w:rsidRPr="009E1C12">
        <w:rPr>
          <w:rFonts w:asciiTheme="majorBidi" w:hAnsiTheme="majorBidi" w:cstheme="majorBidi"/>
        </w:rPr>
        <w:t xml:space="preserve">66 (1997). Given the difficulties of pinning down exact numbers in institutions, other estimates are more conservative. But even one of the most cautious observers concluded that “[g]iven that the number of newborn infants fell by more than 30 percentage points during these years, this climb in cases of institutionalization must be considered dramatic.” E. Zamfir and C. Zamfir </w:t>
      </w:r>
      <w:r w:rsidRPr="009E1C12">
        <w:rPr>
          <w:rFonts w:asciiTheme="majorBidi" w:hAnsiTheme="majorBidi" w:cstheme="majorBidi"/>
          <w:i/>
          <w:iCs/>
        </w:rPr>
        <w:t>Children at Risk in Romania: Problems Old and New</w:t>
      </w:r>
      <w:r w:rsidRPr="009E1C12">
        <w:rPr>
          <w:rFonts w:asciiTheme="majorBidi" w:hAnsiTheme="majorBidi" w:cstheme="majorBidi"/>
        </w:rPr>
        <w:t>, UNICEF International Child Development Centre Innocenti Occasional Papers 37 (1996).</w:t>
      </w:r>
    </w:p>
  </w:footnote>
  <w:footnote w:id="197">
    <w:p w14:paraId="1AECA70E" w14:textId="77777777" w:rsidR="001A3CF6" w:rsidRPr="009E1C12" w:rsidRDefault="001A3CF6" w:rsidP="00016E6A">
      <w:pPr>
        <w:pStyle w:val="FootnoteText"/>
        <w:rPr>
          <w:rFonts w:asciiTheme="majorBidi" w:hAnsiTheme="majorBidi" w:cstheme="majorBidi"/>
          <w:i/>
          <w:iCs/>
        </w:rPr>
      </w:pPr>
      <w:r w:rsidRPr="009E1C12">
        <w:rPr>
          <w:rStyle w:val="FootnoteReference"/>
          <w:rFonts w:asciiTheme="majorBidi" w:hAnsiTheme="majorBidi" w:cstheme="majorBidi"/>
        </w:rPr>
        <w:footnoteRef/>
      </w:r>
      <w:r w:rsidRPr="009E1C12">
        <w:rPr>
          <w:rFonts w:asciiTheme="majorBidi" w:hAnsiTheme="majorBidi" w:cstheme="majorBidi"/>
        </w:rPr>
        <w:t xml:space="preserve"> Charles H. Zeanah et al., </w:t>
      </w:r>
      <w:r w:rsidRPr="009E1C12">
        <w:rPr>
          <w:rFonts w:asciiTheme="majorBidi" w:hAnsiTheme="majorBidi" w:cstheme="majorBidi"/>
          <w:i/>
          <w:iCs/>
        </w:rPr>
        <w:t>Designing research to study the effects of institutionalization on brain and</w:t>
      </w:r>
    </w:p>
    <w:p w14:paraId="03D17C96" w14:textId="77777777" w:rsidR="001A3CF6" w:rsidRPr="009E1C12" w:rsidRDefault="001A3CF6" w:rsidP="00016E6A">
      <w:pPr>
        <w:pStyle w:val="FootnoteText"/>
        <w:rPr>
          <w:rFonts w:asciiTheme="majorBidi" w:hAnsiTheme="majorBidi" w:cstheme="majorBidi"/>
        </w:rPr>
      </w:pPr>
      <w:r w:rsidRPr="009E1C12">
        <w:rPr>
          <w:rFonts w:asciiTheme="majorBidi" w:hAnsiTheme="majorBidi" w:cstheme="majorBidi"/>
          <w:i/>
          <w:iCs/>
        </w:rPr>
        <w:t>behavioral development: The Bucharest Early Intervention Project</w:t>
      </w:r>
      <w:r w:rsidRPr="009E1C12">
        <w:rPr>
          <w:rFonts w:asciiTheme="majorBidi" w:hAnsiTheme="majorBidi" w:cstheme="majorBidi"/>
        </w:rPr>
        <w:t xml:space="preserve">, 15 </w:t>
      </w:r>
      <w:r w:rsidRPr="008F50FE">
        <w:rPr>
          <w:rFonts w:asciiTheme="majorBidi" w:hAnsiTheme="majorBidi" w:cstheme="majorBidi"/>
        </w:rPr>
        <w:t>Development and Psychopathology</w:t>
      </w:r>
      <w:r w:rsidRPr="009E1C12">
        <w:rPr>
          <w:rFonts w:asciiTheme="majorBidi" w:hAnsiTheme="majorBidi" w:cstheme="majorBidi"/>
        </w:rPr>
        <w:t xml:space="preserve"> 885, 886 (2003) (reviewing five decades of research literature on the damaging effects</w:t>
      </w:r>
    </w:p>
    <w:p w14:paraId="16A53853" w14:textId="5D698148" w:rsidR="001A3CF6" w:rsidRPr="009E1C12" w:rsidRDefault="001A3CF6" w:rsidP="00016E6A">
      <w:pPr>
        <w:pStyle w:val="FootnoteText"/>
        <w:jc w:val="both"/>
        <w:rPr>
          <w:rFonts w:asciiTheme="majorBidi" w:hAnsiTheme="majorBidi" w:cstheme="majorBidi"/>
        </w:rPr>
      </w:pPr>
      <w:r w:rsidRPr="009E1C12">
        <w:rPr>
          <w:rFonts w:asciiTheme="majorBidi" w:hAnsiTheme="majorBidi" w:cstheme="majorBidi"/>
        </w:rPr>
        <w:t xml:space="preserve"> of institutionalization). </w:t>
      </w:r>
      <w:r w:rsidRPr="00016E6A">
        <w:rPr>
          <w:rFonts w:asciiTheme="majorBidi" w:hAnsiTheme="majorBidi" w:cstheme="majorBidi"/>
        </w:rPr>
        <w:t>See also discussion about the inherent dangers of institution</w:t>
      </w:r>
      <w:r>
        <w:rPr>
          <w:rFonts w:asciiTheme="majorBidi" w:hAnsiTheme="majorBidi" w:cstheme="majorBidi"/>
        </w:rPr>
        <w:t>s</w:t>
      </w:r>
      <w:r w:rsidRPr="00016E6A">
        <w:rPr>
          <w:rFonts w:asciiTheme="majorBidi" w:hAnsiTheme="majorBidi" w:cstheme="majorBidi"/>
        </w:rPr>
        <w:t xml:space="preserve"> in Part IIB.</w:t>
      </w:r>
    </w:p>
  </w:footnote>
  <w:footnote w:id="198">
    <w:p w14:paraId="6F341979" w14:textId="6893162A" w:rsidR="001A3CF6" w:rsidRPr="009E1C12" w:rsidRDefault="001A3CF6" w:rsidP="00B57B6A">
      <w:pPr>
        <w:pStyle w:val="FootnoteText"/>
        <w:jc w:val="both"/>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“There is a growing global consensus that sporadic or isolated efforts to improve individual institutions</w:t>
      </w:r>
      <w:r>
        <w:rPr>
          <w:rFonts w:asciiTheme="majorBidi" w:hAnsiTheme="majorBidi" w:cstheme="majorBidi"/>
        </w:rPr>
        <w:t xml:space="preserve"> </w:t>
      </w:r>
      <w:r w:rsidRPr="009E1C12">
        <w:rPr>
          <w:rFonts w:asciiTheme="majorBidi" w:hAnsiTheme="majorBidi" w:cstheme="majorBidi"/>
        </w:rPr>
        <w:t>will not solve the problems of children in residential care, or meet their best interests. Efforts</w:t>
      </w:r>
      <w:r>
        <w:rPr>
          <w:rFonts w:asciiTheme="majorBidi" w:hAnsiTheme="majorBidi" w:cstheme="majorBidi"/>
        </w:rPr>
        <w:t xml:space="preserve"> </w:t>
      </w:r>
      <w:r w:rsidRPr="009E1C12">
        <w:rPr>
          <w:rFonts w:asciiTheme="majorBidi" w:hAnsiTheme="majorBidi" w:cstheme="majorBidi"/>
        </w:rPr>
        <w:t>must focus more especially on the underlying reasons for decisions to place children in care in the first</w:t>
      </w:r>
      <w:r>
        <w:rPr>
          <w:rFonts w:asciiTheme="majorBidi" w:hAnsiTheme="majorBidi" w:cstheme="majorBidi"/>
        </w:rPr>
        <w:t xml:space="preserve"> </w:t>
      </w:r>
      <w:r w:rsidRPr="009E1C12">
        <w:rPr>
          <w:rFonts w:asciiTheme="majorBidi" w:hAnsiTheme="majorBidi" w:cstheme="majorBidi"/>
        </w:rPr>
        <w:t>place. Complex and often interlinked factors – such as poverty, family breakdown, disability, ethnicity,</w:t>
      </w:r>
      <w:r>
        <w:rPr>
          <w:rFonts w:asciiTheme="majorBidi" w:hAnsiTheme="majorBidi" w:cstheme="majorBidi"/>
        </w:rPr>
        <w:t xml:space="preserve"> </w:t>
      </w:r>
      <w:r w:rsidRPr="009E1C12">
        <w:rPr>
          <w:rFonts w:asciiTheme="majorBidi" w:hAnsiTheme="majorBidi" w:cstheme="majorBidi"/>
        </w:rPr>
        <w:t>inflexible child welfare systems and the lack of alternatives to residential care – require holistic</w:t>
      </w:r>
      <w:r>
        <w:rPr>
          <w:rFonts w:asciiTheme="majorBidi" w:hAnsiTheme="majorBidi" w:cstheme="majorBidi"/>
        </w:rPr>
        <w:t xml:space="preserve"> </w:t>
      </w:r>
      <w:r w:rsidRPr="009E1C12">
        <w:rPr>
          <w:rFonts w:asciiTheme="majorBidi" w:hAnsiTheme="majorBidi" w:cstheme="majorBidi"/>
        </w:rPr>
        <w:t>responses that identify families at risk, address their needs and prevent the removal of their children.</w:t>
      </w:r>
      <w:r>
        <w:rPr>
          <w:rFonts w:asciiTheme="majorBidi" w:hAnsiTheme="majorBidi" w:cstheme="majorBidi"/>
        </w:rPr>
        <w:t xml:space="preserve"> </w:t>
      </w:r>
      <w:r w:rsidRPr="009E1C12">
        <w:rPr>
          <w:rFonts w:asciiTheme="majorBidi" w:hAnsiTheme="majorBidi" w:cstheme="majorBidi"/>
        </w:rPr>
        <w:t>The ethical and practical challenge that we face is to ensure that families – with special emphasis on</w:t>
      </w:r>
      <w:r>
        <w:rPr>
          <w:rFonts w:asciiTheme="majorBidi" w:hAnsiTheme="majorBidi" w:cstheme="majorBidi"/>
        </w:rPr>
        <w:t xml:space="preserve"> </w:t>
      </w:r>
      <w:r w:rsidRPr="009E1C12">
        <w:rPr>
          <w:rFonts w:asciiTheme="majorBidi" w:hAnsiTheme="majorBidi" w:cstheme="majorBidi"/>
        </w:rPr>
        <w:t>women who are increasingly heads of household – have the support they need to nurture and raise</w:t>
      </w:r>
      <w:r>
        <w:rPr>
          <w:rFonts w:asciiTheme="majorBidi" w:hAnsiTheme="majorBidi" w:cstheme="majorBidi"/>
        </w:rPr>
        <w:t xml:space="preserve"> </w:t>
      </w:r>
      <w:r w:rsidRPr="009E1C12">
        <w:rPr>
          <w:rFonts w:asciiTheme="majorBidi" w:hAnsiTheme="majorBidi" w:cstheme="majorBidi"/>
        </w:rPr>
        <w:t xml:space="preserve">their children and </w:t>
      </w:r>
      <w:r w:rsidRPr="00524D70">
        <w:rPr>
          <w:rFonts w:asciiTheme="majorBidi" w:hAnsiTheme="majorBidi" w:cstheme="majorBidi"/>
        </w:rPr>
        <w:t>effectively assume their childrearing responsibilities.” UNICEF</w:t>
      </w:r>
      <w:r w:rsidRPr="006947CE">
        <w:rPr>
          <w:rFonts w:asciiTheme="majorBidi" w:hAnsiTheme="majorBidi" w:cstheme="majorBidi"/>
        </w:rPr>
        <w:t xml:space="preserve">, </w:t>
      </w:r>
      <w:r w:rsidRPr="00B57B6A">
        <w:rPr>
          <w:rFonts w:asciiTheme="majorBidi" w:hAnsiTheme="majorBidi" w:cstheme="majorBidi"/>
          <w:i/>
        </w:rPr>
        <w:t>Children in Institutions: The Beginning of the End?</w:t>
      </w:r>
      <w:r w:rsidRPr="00524D70">
        <w:rPr>
          <w:rFonts w:asciiTheme="majorBidi" w:hAnsiTheme="majorBidi" w:cstheme="majorBidi"/>
        </w:rPr>
        <w:t xml:space="preserve"> (2003), </w:t>
      </w:r>
      <w:r w:rsidRPr="00B57B6A">
        <w:rPr>
          <w:rFonts w:asciiTheme="majorBidi" w:hAnsiTheme="majorBidi" w:cstheme="majorBidi"/>
          <w:i/>
        </w:rPr>
        <w:t>supra</w:t>
      </w:r>
      <w:r w:rsidRPr="00B57B6A">
        <w:rPr>
          <w:rFonts w:asciiTheme="majorBidi" w:hAnsiTheme="majorBidi" w:cstheme="majorBidi"/>
        </w:rPr>
        <w:t xml:space="preserve"> note </w:t>
      </w:r>
      <w:r w:rsidRPr="00B57B6A">
        <w:rPr>
          <w:rFonts w:asciiTheme="majorBidi" w:hAnsiTheme="majorBidi" w:cstheme="majorBidi"/>
        </w:rPr>
        <w:fldChar w:fldCharType="begin"/>
      </w:r>
      <w:r w:rsidRPr="00B57B6A">
        <w:rPr>
          <w:rFonts w:asciiTheme="majorBidi" w:hAnsiTheme="majorBidi" w:cstheme="majorBidi"/>
        </w:rPr>
        <w:instrText xml:space="preserve"> NOTEREF _Ref334309428 \h  \* MERGEFORMAT </w:instrText>
      </w:r>
      <w:r w:rsidRPr="00B57B6A">
        <w:rPr>
          <w:rFonts w:asciiTheme="majorBidi" w:hAnsiTheme="majorBidi" w:cstheme="majorBidi"/>
        </w:rPr>
      </w:r>
      <w:r w:rsidRPr="00B57B6A">
        <w:rPr>
          <w:rFonts w:asciiTheme="majorBidi" w:hAnsiTheme="majorBidi" w:cstheme="majorBidi"/>
        </w:rPr>
        <w:fldChar w:fldCharType="separate"/>
      </w:r>
      <w:r>
        <w:rPr>
          <w:rFonts w:asciiTheme="majorBidi" w:hAnsiTheme="majorBidi" w:cstheme="majorBidi"/>
        </w:rPr>
        <w:t>54</w:t>
      </w:r>
      <w:r w:rsidRPr="00B57B6A">
        <w:rPr>
          <w:rFonts w:asciiTheme="majorBidi" w:hAnsiTheme="majorBidi" w:cstheme="majorBidi"/>
        </w:rPr>
        <w:fldChar w:fldCharType="end"/>
      </w:r>
      <w:r w:rsidRPr="00524D70">
        <w:rPr>
          <w:rFonts w:asciiTheme="majorBidi" w:hAnsiTheme="majorBidi" w:cstheme="majorBidi"/>
        </w:rPr>
        <w:t>, at vi.</w:t>
      </w:r>
      <w:r w:rsidRPr="009E1C12">
        <w:rPr>
          <w:rFonts w:asciiTheme="majorBidi" w:hAnsiTheme="majorBidi" w:cstheme="majorBidi"/>
        </w:rPr>
        <w:t xml:space="preserve"> </w:t>
      </w:r>
    </w:p>
  </w:footnote>
  <w:footnote w:id="199">
    <w:p w14:paraId="3CC226AD" w14:textId="77777777" w:rsidR="001A3CF6" w:rsidRPr="009E1C12" w:rsidRDefault="001A3CF6" w:rsidP="00CB078E">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w:t>
      </w:r>
      <w:r w:rsidRPr="009E1C12">
        <w:rPr>
          <w:rFonts w:asciiTheme="majorBidi" w:hAnsiTheme="majorBidi" w:cstheme="majorBidi"/>
        </w:rPr>
        <w:t>Implementing the Guidelines (2012) at 37 (describing the Guidelines and their broad implications for policy-making) and 43 (describing the importance of moving toward deinstitutionalization).</w:t>
      </w:r>
    </w:p>
  </w:footnote>
  <w:footnote w:id="200">
    <w:p w14:paraId="7CE188F3" w14:textId="7EE73A69" w:rsidR="001A3CF6" w:rsidRPr="009E1C1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w:t>
      </w:r>
      <w:r w:rsidRPr="009E1C12">
        <w:rPr>
          <w:rFonts w:asciiTheme="majorBidi" w:hAnsiTheme="majorBidi" w:cstheme="majorBidi"/>
        </w:rPr>
        <w:t>D</w:t>
      </w:r>
      <w:r w:rsidRPr="008F50FE">
        <w:rPr>
          <w:rFonts w:asciiTheme="majorBidi" w:hAnsiTheme="majorBidi" w:cstheme="majorBidi"/>
        </w:rPr>
        <w:t xml:space="preserve">isability </w:t>
      </w:r>
      <w:r w:rsidRPr="009E1C12">
        <w:rPr>
          <w:rFonts w:asciiTheme="majorBidi" w:hAnsiTheme="majorBidi" w:cstheme="majorBidi"/>
        </w:rPr>
        <w:t>R</w:t>
      </w:r>
      <w:r w:rsidRPr="008F50FE">
        <w:rPr>
          <w:rFonts w:asciiTheme="majorBidi" w:hAnsiTheme="majorBidi" w:cstheme="majorBidi"/>
        </w:rPr>
        <w:t xml:space="preserve">ights </w:t>
      </w:r>
      <w:r w:rsidRPr="009E1C12">
        <w:rPr>
          <w:rFonts w:asciiTheme="majorBidi" w:hAnsiTheme="majorBidi" w:cstheme="majorBidi"/>
        </w:rPr>
        <w:t>I</w:t>
      </w:r>
      <w:r w:rsidRPr="008F50FE">
        <w:rPr>
          <w:rFonts w:asciiTheme="majorBidi" w:hAnsiTheme="majorBidi" w:cstheme="majorBidi"/>
        </w:rPr>
        <w:t>nternational</w:t>
      </w:r>
      <w:r w:rsidRPr="009E1C12">
        <w:rPr>
          <w:rFonts w:asciiTheme="majorBidi" w:hAnsiTheme="majorBidi" w:cstheme="majorBidi"/>
        </w:rPr>
        <w:t xml:space="preserve"> (2013), </w:t>
      </w:r>
      <w:r w:rsidRPr="009E1C12">
        <w:rPr>
          <w:rFonts w:asciiTheme="majorBidi" w:hAnsiTheme="majorBidi" w:cstheme="majorBidi"/>
          <w:i/>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_Ref466623094 \h </w:instrText>
      </w:r>
      <w:r w:rsidRPr="008F50FE">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170</w:t>
      </w:r>
      <w:r w:rsidRPr="009E1C12">
        <w:rPr>
          <w:rFonts w:asciiTheme="majorBidi" w:hAnsiTheme="majorBidi" w:cstheme="majorBidi"/>
        </w:rPr>
        <w:fldChar w:fldCharType="end"/>
      </w:r>
      <w:r w:rsidRPr="009E1C12">
        <w:rPr>
          <w:rFonts w:asciiTheme="majorBidi" w:hAnsiTheme="majorBidi" w:cstheme="majorBidi"/>
        </w:rPr>
        <w:t xml:space="preserve"> (describing D</w:t>
      </w:r>
      <w:r w:rsidRPr="008F50FE">
        <w:rPr>
          <w:rFonts w:asciiTheme="majorBidi" w:hAnsiTheme="majorBidi" w:cstheme="majorBidi"/>
        </w:rPr>
        <w:t xml:space="preserve">isability </w:t>
      </w:r>
      <w:r w:rsidRPr="009E1C12">
        <w:rPr>
          <w:rFonts w:asciiTheme="majorBidi" w:hAnsiTheme="majorBidi" w:cstheme="majorBidi"/>
        </w:rPr>
        <w:t>R</w:t>
      </w:r>
      <w:r w:rsidRPr="008F50FE">
        <w:rPr>
          <w:rFonts w:asciiTheme="majorBidi" w:hAnsiTheme="majorBidi" w:cstheme="majorBidi"/>
        </w:rPr>
        <w:t xml:space="preserve">ights </w:t>
      </w:r>
      <w:r w:rsidRPr="009E1C12">
        <w:rPr>
          <w:rFonts w:asciiTheme="majorBidi" w:hAnsiTheme="majorBidi" w:cstheme="majorBidi"/>
        </w:rPr>
        <w:t>I</w:t>
      </w:r>
      <w:r w:rsidRPr="008F50FE">
        <w:rPr>
          <w:rFonts w:asciiTheme="majorBidi" w:hAnsiTheme="majorBidi" w:cstheme="majorBidi"/>
        </w:rPr>
        <w:t>nternational</w:t>
      </w:r>
      <w:r w:rsidRPr="009E1C12">
        <w:rPr>
          <w:rFonts w:asciiTheme="majorBidi" w:hAnsiTheme="majorBidi" w:cstheme="majorBidi"/>
        </w:rPr>
        <w:t>’s findings in the Republic of Georgia).</w:t>
      </w:r>
    </w:p>
  </w:footnote>
  <w:footnote w:id="201">
    <w:p w14:paraId="65C1F375" w14:textId="6DC638F9" w:rsidR="001A3CF6" w:rsidRPr="009E1C12" w:rsidRDefault="001A3CF6" w:rsidP="00470A03">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B57B6A">
        <w:rPr>
          <w:rFonts w:asciiTheme="majorBidi" w:hAnsiTheme="majorBidi" w:cstheme="majorBidi"/>
        </w:rPr>
        <w:t>. at</w:t>
      </w:r>
      <w:r w:rsidRPr="009E1C12">
        <w:rPr>
          <w:rFonts w:asciiTheme="majorBidi" w:hAnsiTheme="majorBidi" w:cstheme="majorBidi"/>
          <w:i/>
        </w:rPr>
        <w:t xml:space="preserve"> </w:t>
      </w:r>
      <w:r w:rsidRPr="009E1C12">
        <w:rPr>
          <w:rFonts w:asciiTheme="majorBidi" w:hAnsiTheme="majorBidi" w:cstheme="majorBidi"/>
        </w:rPr>
        <w:t>11.</w:t>
      </w:r>
    </w:p>
  </w:footnote>
  <w:footnote w:id="202">
    <w:p w14:paraId="70909D50" w14:textId="6884A1FD" w:rsidR="001A3CF6" w:rsidRPr="009E1C12" w:rsidRDefault="001A3CF6" w:rsidP="00470A03">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i/>
        </w:rPr>
        <w:t xml:space="preserve"> </w:t>
      </w:r>
      <w:r w:rsidRPr="00B57B6A">
        <w:rPr>
          <w:rFonts w:asciiTheme="majorBidi" w:hAnsiTheme="majorBidi" w:cstheme="majorBidi"/>
        </w:rPr>
        <w:t>at</w:t>
      </w:r>
      <w:r w:rsidRPr="009E1C12">
        <w:rPr>
          <w:rFonts w:asciiTheme="majorBidi" w:hAnsiTheme="majorBidi" w:cstheme="majorBidi"/>
        </w:rPr>
        <w:t xml:space="preserve"> 4.</w:t>
      </w:r>
    </w:p>
  </w:footnote>
  <w:footnote w:id="203">
    <w:p w14:paraId="5821CB2F" w14:textId="43475894" w:rsidR="001A3CF6" w:rsidRPr="009E1C12" w:rsidRDefault="001A3CF6" w:rsidP="00470A03">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i/>
        </w:rPr>
        <w:t xml:space="preserve"> </w:t>
      </w:r>
      <w:r w:rsidRPr="00B57B6A">
        <w:rPr>
          <w:rFonts w:asciiTheme="majorBidi" w:hAnsiTheme="majorBidi" w:cstheme="majorBidi"/>
        </w:rPr>
        <w:t>at</w:t>
      </w:r>
      <w:r w:rsidRPr="009E1C12">
        <w:rPr>
          <w:rFonts w:asciiTheme="majorBidi" w:hAnsiTheme="majorBidi" w:cstheme="majorBidi"/>
        </w:rPr>
        <w:t xml:space="preserve"> 5.</w:t>
      </w:r>
    </w:p>
  </w:footnote>
  <w:footnote w:id="204">
    <w:p w14:paraId="2F8DF704" w14:textId="47908B98"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DF1568">
        <w:rPr>
          <w:rFonts w:asciiTheme="majorBidi" w:hAnsiTheme="majorBidi" w:cstheme="majorBidi"/>
          <w:lang w:val="es-MX"/>
        </w:rPr>
        <w:t xml:space="preserve">Torture in Healthcare Report, </w:t>
      </w:r>
      <w:r w:rsidRPr="00401EFD">
        <w:rPr>
          <w:rFonts w:asciiTheme="majorBidi" w:hAnsiTheme="majorBidi" w:cstheme="majorBidi"/>
          <w:i/>
          <w:lang w:val="es-MX"/>
        </w:rPr>
        <w:t>supra</w:t>
      </w:r>
      <w:r w:rsidRPr="00401EFD">
        <w:rPr>
          <w:rFonts w:asciiTheme="majorBidi" w:hAnsiTheme="majorBidi" w:cstheme="majorBidi"/>
          <w:lang w:val="es-MX"/>
        </w:rPr>
        <w:t xml:space="preserve"> note </w:t>
      </w:r>
      <w:r>
        <w:rPr>
          <w:rFonts w:asciiTheme="majorBidi" w:hAnsiTheme="majorBidi" w:cstheme="majorBidi"/>
          <w:lang w:val="es-MX"/>
        </w:rPr>
        <w:fldChar w:fldCharType="begin"/>
      </w:r>
      <w:r>
        <w:rPr>
          <w:rFonts w:asciiTheme="majorBidi" w:hAnsiTheme="majorBidi" w:cstheme="majorBidi"/>
          <w:lang w:val="es-MX"/>
        </w:rPr>
        <w:instrText xml:space="preserve"> NOTEREF _Ref471315098 \h </w:instrText>
      </w:r>
      <w:r>
        <w:rPr>
          <w:rFonts w:asciiTheme="majorBidi" w:hAnsiTheme="majorBidi" w:cstheme="majorBidi"/>
          <w:lang w:val="es-MX"/>
        </w:rPr>
      </w:r>
      <w:r>
        <w:rPr>
          <w:rFonts w:asciiTheme="majorBidi" w:hAnsiTheme="majorBidi" w:cstheme="majorBidi"/>
          <w:lang w:val="es-MX"/>
        </w:rPr>
        <w:fldChar w:fldCharType="separate"/>
      </w:r>
      <w:r>
        <w:rPr>
          <w:rFonts w:asciiTheme="majorBidi" w:hAnsiTheme="majorBidi" w:cstheme="majorBidi"/>
          <w:lang w:val="es-MX"/>
        </w:rPr>
        <w:t>92</w:t>
      </w:r>
      <w:r>
        <w:rPr>
          <w:rFonts w:asciiTheme="majorBidi" w:hAnsiTheme="majorBidi" w:cstheme="majorBidi"/>
          <w:lang w:val="es-MX"/>
        </w:rPr>
        <w:fldChar w:fldCharType="end"/>
      </w:r>
      <w:r w:rsidRPr="009E1C12">
        <w:rPr>
          <w:rFonts w:asciiTheme="majorBidi" w:hAnsiTheme="majorBidi" w:cstheme="majorBidi"/>
        </w:rPr>
        <w:t>, para. 54-56.</w:t>
      </w:r>
    </w:p>
  </w:footnote>
  <w:footnote w:id="205">
    <w:p w14:paraId="557507C2" w14:textId="38A0A200" w:rsidR="001A3CF6" w:rsidRPr="00000337" w:rsidRDefault="001A3CF6">
      <w:pPr>
        <w:pStyle w:val="FootnoteText"/>
      </w:pPr>
      <w:r>
        <w:rPr>
          <w:rStyle w:val="FootnoteReference"/>
        </w:rPr>
        <w:footnoteRef/>
      </w:r>
      <w:r>
        <w:t xml:space="preserve"> </w:t>
      </w:r>
      <w:r w:rsidRPr="00B30B1A">
        <w:rPr>
          <w:rFonts w:ascii="Times New Roman" w:hAnsi="Times New Roman" w:cs="Times New Roman"/>
        </w:rPr>
        <w:t xml:space="preserve">DRI Mexico (2010), </w:t>
      </w:r>
      <w:r w:rsidRPr="00B30B1A">
        <w:rPr>
          <w:rFonts w:ascii="Times New Roman" w:hAnsi="Times New Roman" w:cs="Times New Roman"/>
          <w:i/>
        </w:rPr>
        <w:t>supra</w:t>
      </w:r>
      <w:r w:rsidRPr="00B30B1A">
        <w:rPr>
          <w:rFonts w:ascii="Times New Roman" w:hAnsi="Times New Roman" w:cs="Times New Roman"/>
        </w:rPr>
        <w:t xml:space="preserve"> note </w:t>
      </w:r>
      <w:r w:rsidRPr="00B30B1A">
        <w:rPr>
          <w:rFonts w:ascii="Times New Roman" w:hAnsi="Times New Roman" w:cs="Times New Roman"/>
        </w:rPr>
        <w:fldChar w:fldCharType="begin"/>
      </w:r>
      <w:r w:rsidRPr="00B30B1A">
        <w:rPr>
          <w:rFonts w:ascii="Times New Roman" w:hAnsi="Times New Roman" w:cs="Times New Roman"/>
        </w:rPr>
        <w:instrText xml:space="preserve"> NOTEREF _Ref471314320 \h </w:instrText>
      </w:r>
      <w:r>
        <w:rPr>
          <w:rFonts w:ascii="Times New Roman" w:hAnsi="Times New Roman" w:cs="Times New Roman"/>
        </w:rPr>
        <w:instrText xml:space="preserve"> \* MERGEFORMAT </w:instrText>
      </w:r>
      <w:r w:rsidRPr="00B30B1A">
        <w:rPr>
          <w:rFonts w:ascii="Times New Roman" w:hAnsi="Times New Roman" w:cs="Times New Roman"/>
        </w:rPr>
      </w:r>
      <w:r w:rsidRPr="00B30B1A">
        <w:rPr>
          <w:rFonts w:ascii="Times New Roman" w:hAnsi="Times New Roman" w:cs="Times New Roman"/>
        </w:rPr>
        <w:fldChar w:fldCharType="separate"/>
      </w:r>
      <w:r>
        <w:rPr>
          <w:rFonts w:ascii="Times New Roman" w:hAnsi="Times New Roman" w:cs="Times New Roman"/>
        </w:rPr>
        <w:t>30</w:t>
      </w:r>
      <w:r w:rsidRPr="00B30B1A">
        <w:rPr>
          <w:rFonts w:ascii="Times New Roman" w:hAnsi="Times New Roman" w:cs="Times New Roman"/>
        </w:rPr>
        <w:fldChar w:fldCharType="end"/>
      </w:r>
      <w:r w:rsidRPr="00B30B1A">
        <w:rPr>
          <w:rFonts w:ascii="Times New Roman" w:hAnsi="Times New Roman" w:cs="Times New Roman"/>
        </w:rPr>
        <w:t>, at 10;</w:t>
      </w:r>
      <w:r>
        <w:rPr>
          <w:rFonts w:ascii="Times New Roman" w:hAnsi="Times New Roman" w:cs="Times New Roman"/>
        </w:rPr>
        <w:t xml:space="preserve"> DRI No Justice (2015), </w:t>
      </w:r>
      <w:r>
        <w:rPr>
          <w:rFonts w:ascii="Times New Roman" w:hAnsi="Times New Roman" w:cs="Times New Roman"/>
          <w:i/>
        </w:rPr>
        <w:t>supra</w:t>
      </w:r>
      <w:r>
        <w:rPr>
          <w:rFonts w:ascii="Times New Roman" w:hAnsi="Times New Roman" w:cs="Times New Roman"/>
        </w:rPr>
        <w:t xml:space="preserve"> note </w:t>
      </w:r>
      <w:r>
        <w:rPr>
          <w:rFonts w:ascii="Times New Roman" w:hAnsi="Times New Roman" w:cs="Times New Roman"/>
        </w:rPr>
        <w:fldChar w:fldCharType="begin"/>
      </w:r>
      <w:r>
        <w:rPr>
          <w:rFonts w:ascii="Times New Roman" w:hAnsi="Times New Roman" w:cs="Times New Roman"/>
        </w:rPr>
        <w:instrText xml:space="preserve"> NOTEREF _Ref471315886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171</w:t>
      </w:r>
      <w:r>
        <w:rPr>
          <w:rFonts w:ascii="Times New Roman" w:hAnsi="Times New Roman" w:cs="Times New Roman"/>
        </w:rPr>
        <w:fldChar w:fldCharType="end"/>
      </w:r>
      <w:r>
        <w:rPr>
          <w:rFonts w:ascii="Times New Roman" w:hAnsi="Times New Roman" w:cs="Times New Roman"/>
        </w:rPr>
        <w:t>.</w:t>
      </w:r>
    </w:p>
  </w:footnote>
  <w:footnote w:id="206">
    <w:p w14:paraId="5EB6BD9B" w14:textId="58011DA0" w:rsidR="001A3CF6" w:rsidRPr="009E1C1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imes New Roman" w:hAnsi="Times New Roman" w:cs="Times New Roman"/>
        </w:rPr>
        <w:t>Nowak 2008 Report,</w:t>
      </w:r>
      <w:r w:rsidRPr="009E1C12" w:rsidDel="00542426">
        <w:rPr>
          <w:rFonts w:asciiTheme="majorBidi" w:hAnsiTheme="majorBidi" w:cstheme="majorBidi"/>
        </w:rPr>
        <w:t xml:space="preserve"> </w:t>
      </w:r>
      <w:r w:rsidRPr="009E1C12">
        <w:rPr>
          <w:rFonts w:asciiTheme="majorBidi" w:hAnsiTheme="majorBidi" w:cstheme="majorBidi"/>
          <w:i/>
        </w:rPr>
        <w:t>supra</w:t>
      </w:r>
      <w:r w:rsidRPr="009E1C12">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_Ref471737848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184</w:t>
      </w:r>
      <w:r>
        <w:rPr>
          <w:rFonts w:asciiTheme="majorBidi" w:hAnsiTheme="majorBidi" w:cstheme="majorBidi"/>
        </w:rPr>
        <w:fldChar w:fldCharType="end"/>
      </w:r>
      <w:r w:rsidRPr="009E1C12">
        <w:rPr>
          <w:rFonts w:asciiTheme="majorBidi" w:hAnsiTheme="majorBidi" w:cstheme="majorBidi"/>
        </w:rPr>
        <w:t>, at 49.</w:t>
      </w:r>
    </w:p>
  </w:footnote>
  <w:footnote w:id="207">
    <w:p w14:paraId="2394CDC9" w14:textId="72D7E541" w:rsidR="001A3CF6" w:rsidRPr="009E1C1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i/>
        </w:rPr>
        <w:t xml:space="preserve"> </w:t>
      </w:r>
      <w:r w:rsidRPr="00C32F22">
        <w:rPr>
          <w:rFonts w:asciiTheme="majorBidi" w:hAnsiTheme="majorBidi" w:cstheme="majorBidi"/>
        </w:rPr>
        <w:t>at</w:t>
      </w:r>
      <w:r w:rsidRPr="009E1C12">
        <w:rPr>
          <w:rFonts w:asciiTheme="majorBidi" w:hAnsiTheme="majorBidi" w:cstheme="majorBidi"/>
        </w:rPr>
        <w:t xml:space="preserve"> para. 55.</w:t>
      </w:r>
    </w:p>
  </w:footnote>
  <w:footnote w:id="208">
    <w:p w14:paraId="1EA74FC5" w14:textId="5F6D48F6" w:rsidR="001A3CF6" w:rsidRPr="009E1C1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B56E67">
        <w:rPr>
          <w:rFonts w:ascii="Times New Roman" w:hAnsi="Times New Roman" w:cs="Times New Roman"/>
        </w:rPr>
        <w:t>Méndez</w:t>
      </w:r>
      <w:r w:rsidRPr="009E1C12">
        <w:rPr>
          <w:rFonts w:asciiTheme="majorBidi" w:hAnsiTheme="majorBidi" w:cstheme="majorBidi"/>
        </w:rPr>
        <w:t xml:space="preserve"> 2015</w:t>
      </w:r>
      <w:r>
        <w:rPr>
          <w:rFonts w:asciiTheme="majorBidi" w:hAnsiTheme="majorBidi" w:cstheme="majorBidi"/>
        </w:rPr>
        <w:t xml:space="preserve"> Report</w:t>
      </w:r>
      <w:r w:rsidRPr="009E1C12">
        <w:rPr>
          <w:rFonts w:asciiTheme="majorBidi" w:hAnsiTheme="majorBidi" w:cstheme="majorBidi"/>
        </w:rPr>
        <w:t xml:space="preserve">, </w:t>
      </w:r>
      <w:r w:rsidRPr="009E1C12">
        <w:rPr>
          <w:rFonts w:asciiTheme="majorBidi" w:hAnsiTheme="majorBidi" w:cstheme="majorBidi"/>
          <w:i/>
        </w:rPr>
        <w:t>supra</w:t>
      </w:r>
      <w:r w:rsidRPr="009E1C12">
        <w:rPr>
          <w:rFonts w:asciiTheme="majorBidi" w:hAnsiTheme="majorBidi" w:cstheme="majorBidi"/>
        </w:rPr>
        <w:t xml:space="preserve"> note </w:t>
      </w:r>
      <w:r>
        <w:rPr>
          <w:rFonts w:asciiTheme="majorBidi" w:hAnsiTheme="majorBidi" w:cstheme="majorBidi"/>
        </w:rPr>
        <w:t>2</w:t>
      </w:r>
      <w:r w:rsidRPr="009E1C12">
        <w:rPr>
          <w:rFonts w:asciiTheme="majorBidi" w:hAnsiTheme="majorBidi" w:cstheme="majorBidi"/>
        </w:rPr>
        <w:t xml:space="preserve">, para. 86(f). </w:t>
      </w:r>
    </w:p>
  </w:footnote>
  <w:footnote w:id="209">
    <w:p w14:paraId="13ABF171" w14:textId="7E94EA84" w:rsidR="001A3CF6" w:rsidRPr="009E1C1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866F9B">
        <w:rPr>
          <w:rFonts w:ascii="Times New Roman" w:hAnsi="Times New Roman" w:cs="Times New Roman"/>
        </w:rPr>
        <w:t>Méndez</w:t>
      </w:r>
      <w:r w:rsidRPr="009E1C12">
        <w:rPr>
          <w:rFonts w:asciiTheme="majorBidi" w:hAnsiTheme="majorBidi" w:cstheme="majorBidi"/>
        </w:rPr>
        <w:t xml:space="preserve"> states that “…any restraint on people with mental disabilities for even a short period of time may constitute torture or ill-treatment. It is essential that an absolute ban on all coercive and non-consensual measures, including restraint and solitary confinement of people with psychological or intellectual disabilities, should apply in all places of deprivation of liberty, including psychiatric and social care institutions.” </w:t>
      </w:r>
      <w:r w:rsidRPr="009E1C12">
        <w:rPr>
          <w:rFonts w:asciiTheme="majorBidi" w:hAnsiTheme="majorBidi" w:cstheme="majorBidi"/>
          <w:i/>
        </w:rPr>
        <w:t>Id</w:t>
      </w:r>
      <w:r w:rsidRPr="009E1C12">
        <w:rPr>
          <w:rFonts w:asciiTheme="majorBidi" w:hAnsiTheme="majorBidi" w:cstheme="majorBidi"/>
        </w:rPr>
        <w:t xml:space="preserve">. </w:t>
      </w:r>
    </w:p>
  </w:footnote>
  <w:footnote w:id="210">
    <w:p w14:paraId="465A2A5B" w14:textId="4D9B71E3" w:rsidR="001A3CF6" w:rsidRPr="009E1C12" w:rsidRDefault="001A3CF6" w:rsidP="002411C8">
      <w:pPr>
        <w:spacing w:after="0"/>
        <w:rPr>
          <w:rFonts w:asciiTheme="majorBidi"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Council of Europe, European Committee for the Prevention of Torture and Inhuman or Degrading Treatment or Punishment, </w:t>
      </w:r>
      <w:r w:rsidRPr="009E1C12">
        <w:rPr>
          <w:rFonts w:asciiTheme="majorBidi" w:hAnsiTheme="majorBidi" w:cstheme="majorBidi"/>
          <w:i/>
          <w:iCs/>
          <w:sz w:val="20"/>
          <w:szCs w:val="20"/>
        </w:rPr>
        <w:t>The use of Restraints in Psychiatric Institutions</w:t>
      </w:r>
      <w:r w:rsidRPr="009E1C12">
        <w:rPr>
          <w:rFonts w:asciiTheme="majorBidi" w:hAnsiTheme="majorBidi" w:cstheme="majorBidi"/>
          <w:sz w:val="20"/>
          <w:szCs w:val="20"/>
        </w:rPr>
        <w:t>,</w:t>
      </w:r>
      <w:r>
        <w:rPr>
          <w:rFonts w:asciiTheme="majorBidi" w:hAnsiTheme="majorBidi" w:cstheme="majorBidi"/>
          <w:sz w:val="20"/>
          <w:szCs w:val="20"/>
        </w:rPr>
        <w:t xml:space="preserve"> </w:t>
      </w:r>
      <w:r w:rsidRPr="008F50FE">
        <w:rPr>
          <w:rFonts w:asciiTheme="majorBidi" w:hAnsiTheme="majorBidi" w:cstheme="majorBidi"/>
          <w:sz w:val="20"/>
          <w:szCs w:val="20"/>
        </w:rPr>
        <w:t>(</w:t>
      </w:r>
      <w:r w:rsidRPr="009E1C12">
        <w:rPr>
          <w:rFonts w:asciiTheme="majorBidi" w:hAnsiTheme="majorBidi" w:cstheme="majorBidi"/>
          <w:sz w:val="20"/>
          <w:szCs w:val="20"/>
        </w:rPr>
        <w:t>June 13, 2012</w:t>
      </w:r>
      <w:r w:rsidRPr="008F50FE">
        <w:rPr>
          <w:rFonts w:asciiTheme="majorBidi" w:hAnsiTheme="majorBidi" w:cstheme="majorBidi"/>
          <w:sz w:val="20"/>
          <w:szCs w:val="20"/>
        </w:rPr>
        <w:t>)</w:t>
      </w:r>
      <w:r w:rsidRPr="009E1C12">
        <w:rPr>
          <w:rFonts w:asciiTheme="majorBidi" w:hAnsiTheme="majorBidi" w:cstheme="majorBidi"/>
          <w:sz w:val="20"/>
          <w:szCs w:val="20"/>
        </w:rPr>
        <w:t>, para. 3.7.</w:t>
      </w:r>
    </w:p>
  </w:footnote>
  <w:footnote w:id="211">
    <w:p w14:paraId="0C17C8A4" w14:textId="5F6CFC03" w:rsidR="001A3CF6" w:rsidRPr="009E1C1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Guidelines for Alternative Care</w:t>
      </w:r>
      <w:r w:rsidRPr="00BF0FAA">
        <w:rPr>
          <w:rFonts w:asciiTheme="majorBidi" w:hAnsiTheme="majorBidi" w:cstheme="majorBidi"/>
        </w:rPr>
        <w:t xml:space="preserve">, </w:t>
      </w:r>
      <w:r w:rsidRPr="00401EFD">
        <w:rPr>
          <w:rFonts w:asciiTheme="majorBidi" w:hAnsiTheme="majorBidi" w:cstheme="majorBidi"/>
          <w:i/>
          <w:iCs/>
        </w:rPr>
        <w:t>supra</w:t>
      </w:r>
      <w:r w:rsidRPr="00401EFD">
        <w:rPr>
          <w:rFonts w:asciiTheme="majorBidi" w:hAnsiTheme="majorBidi" w:cstheme="majorBidi"/>
        </w:rPr>
        <w:t xml:space="preserve"> note 19,</w:t>
      </w:r>
      <w:r>
        <w:rPr>
          <w:rFonts w:asciiTheme="majorBidi" w:hAnsiTheme="majorBidi" w:cstheme="majorBidi"/>
        </w:rPr>
        <w:t xml:space="preserve"> at</w:t>
      </w:r>
      <w:r w:rsidRPr="006F38B8">
        <w:rPr>
          <w:rFonts w:asciiTheme="majorBidi" w:hAnsiTheme="majorBidi" w:cstheme="majorBidi"/>
        </w:rPr>
        <w:t xml:space="preserve"> </w:t>
      </w:r>
      <w:r>
        <w:rPr>
          <w:rFonts w:asciiTheme="majorBidi" w:hAnsiTheme="majorBidi" w:cstheme="majorBidi"/>
        </w:rPr>
        <w:t>para. 9</w:t>
      </w:r>
      <w:r w:rsidRPr="009E1C12">
        <w:rPr>
          <w:rFonts w:asciiTheme="majorBidi" w:hAnsiTheme="majorBidi" w:cstheme="majorBidi"/>
        </w:rPr>
        <w:t>6.</w:t>
      </w:r>
    </w:p>
  </w:footnote>
  <w:footnote w:id="212">
    <w:p w14:paraId="0778FE6B" w14:textId="5B53AE05" w:rsidR="001A3CF6" w:rsidRPr="009E1C1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733902">
        <w:rPr>
          <w:rFonts w:asciiTheme="majorBidi" w:hAnsiTheme="majorBidi" w:cstheme="majorBidi"/>
        </w:rPr>
        <w:t>Torture in Healthcare</w:t>
      </w:r>
      <w:r>
        <w:rPr>
          <w:rFonts w:asciiTheme="majorBidi" w:hAnsiTheme="majorBidi" w:cstheme="majorBidi"/>
        </w:rPr>
        <w:t xml:space="preserve"> Report,</w:t>
      </w:r>
      <w:r w:rsidRPr="009E1C12">
        <w:rPr>
          <w:rFonts w:asciiTheme="majorBidi" w:hAnsiTheme="majorBidi" w:cstheme="majorBidi"/>
        </w:rPr>
        <w:t xml:space="preserve"> </w:t>
      </w:r>
      <w:r w:rsidRPr="009E1C12">
        <w:rPr>
          <w:rFonts w:asciiTheme="majorBidi" w:hAnsiTheme="majorBidi" w:cstheme="majorBidi"/>
          <w:i/>
        </w:rPr>
        <w:t>supra</w:t>
      </w:r>
      <w:r w:rsidRPr="009E1C12">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_Ref471315098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92</w:t>
      </w:r>
      <w:r>
        <w:rPr>
          <w:rFonts w:asciiTheme="majorBidi" w:hAnsiTheme="majorBidi" w:cstheme="majorBidi"/>
        </w:rPr>
        <w:fldChar w:fldCharType="end"/>
      </w:r>
      <w:r w:rsidRPr="009E1C12">
        <w:rPr>
          <w:rFonts w:asciiTheme="majorBidi" w:hAnsiTheme="majorBidi" w:cstheme="majorBidi"/>
        </w:rPr>
        <w:t>, para. 63.</w:t>
      </w:r>
    </w:p>
  </w:footnote>
  <w:footnote w:id="213">
    <w:p w14:paraId="47C5033F" w14:textId="77777777" w:rsidR="001A3CF6" w:rsidRPr="009E1C1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Disability Rights International, </w:t>
      </w:r>
      <w:r w:rsidRPr="009E1C12">
        <w:rPr>
          <w:rFonts w:asciiTheme="majorBidi" w:eastAsia="Cambria" w:hAnsiTheme="majorBidi" w:cstheme="majorBidi"/>
          <w:smallCaps/>
        </w:rPr>
        <w:t>Torture Not Treatment: Electric Shock and Long-Term Restraint in the United States on Children and Adults with Disabilities at the Judge Rotenberg Center</w:t>
      </w:r>
      <w:r w:rsidRPr="009E1C12">
        <w:rPr>
          <w:rFonts w:asciiTheme="majorBidi" w:hAnsiTheme="majorBidi" w:cstheme="majorBidi"/>
        </w:rPr>
        <w:t xml:space="preserve"> (2011).</w:t>
      </w:r>
    </w:p>
  </w:footnote>
  <w:footnote w:id="214">
    <w:p w14:paraId="6C1A6073" w14:textId="77FD21F4" w:rsidR="001A3CF6" w:rsidRPr="009E1C12" w:rsidRDefault="001A3CF6" w:rsidP="002726EF">
      <w:pPr>
        <w:pStyle w:val="FootnoteText"/>
        <w:rPr>
          <w:rFonts w:asciiTheme="majorBidi" w:hAnsiTheme="majorBidi" w:cstheme="majorBidi"/>
        </w:rPr>
      </w:pPr>
      <w:r w:rsidRPr="00000337">
        <w:rPr>
          <w:rStyle w:val="FootnoteReference"/>
          <w:rFonts w:asciiTheme="majorBidi" w:hAnsiTheme="majorBidi" w:cstheme="majorBidi"/>
        </w:rPr>
        <w:footnoteRef/>
      </w:r>
      <w:r w:rsidRPr="00000337">
        <w:rPr>
          <w:rFonts w:asciiTheme="majorBidi" w:hAnsiTheme="majorBidi" w:cstheme="majorBidi"/>
        </w:rPr>
        <w:t xml:space="preserve"> </w:t>
      </w:r>
      <w:r w:rsidRPr="00733902">
        <w:rPr>
          <w:rFonts w:asciiTheme="majorBidi" w:hAnsiTheme="majorBidi" w:cstheme="majorBidi"/>
        </w:rPr>
        <w:t xml:space="preserve">Rosenthal &amp; Ahern, </w:t>
      </w:r>
      <w:r w:rsidRPr="00733902">
        <w:rPr>
          <w:rFonts w:asciiTheme="majorBidi" w:hAnsiTheme="majorBidi" w:cstheme="majorBidi"/>
          <w:i/>
        </w:rPr>
        <w:t xml:space="preserve">supra </w:t>
      </w:r>
      <w:r w:rsidRPr="00733902">
        <w:rPr>
          <w:rFonts w:asciiTheme="majorBidi" w:hAnsiTheme="majorBidi" w:cstheme="majorBidi"/>
        </w:rPr>
        <w:t xml:space="preserve">note </w:t>
      </w:r>
      <w:r w:rsidRPr="00733902">
        <w:rPr>
          <w:rFonts w:asciiTheme="majorBidi" w:hAnsiTheme="majorBidi" w:cstheme="majorBidi"/>
        </w:rPr>
        <w:fldChar w:fldCharType="begin"/>
      </w:r>
      <w:r w:rsidRPr="00733902">
        <w:rPr>
          <w:rFonts w:asciiTheme="majorBidi" w:hAnsiTheme="majorBidi" w:cstheme="majorBidi"/>
        </w:rPr>
        <w:instrText xml:space="preserve"> NOTEREF _Ref334716376 \h  \* MERGEFORMAT </w:instrText>
      </w:r>
      <w:r w:rsidRPr="00733902">
        <w:rPr>
          <w:rFonts w:asciiTheme="majorBidi" w:hAnsiTheme="majorBidi" w:cstheme="majorBidi"/>
        </w:rPr>
      </w:r>
      <w:r w:rsidRPr="00733902">
        <w:rPr>
          <w:rFonts w:asciiTheme="majorBidi" w:hAnsiTheme="majorBidi" w:cstheme="majorBidi"/>
        </w:rPr>
        <w:fldChar w:fldCharType="separate"/>
      </w:r>
      <w:r>
        <w:rPr>
          <w:rFonts w:asciiTheme="majorBidi" w:hAnsiTheme="majorBidi" w:cstheme="majorBidi"/>
        </w:rPr>
        <w:t>174</w:t>
      </w:r>
      <w:r w:rsidRPr="00733902">
        <w:rPr>
          <w:rFonts w:asciiTheme="majorBidi" w:hAnsiTheme="majorBidi" w:cstheme="majorBidi"/>
        </w:rPr>
        <w:fldChar w:fldCharType="end"/>
      </w:r>
      <w:r w:rsidRPr="00733902">
        <w:rPr>
          <w:rFonts w:asciiTheme="majorBidi" w:hAnsiTheme="majorBidi" w:cstheme="majorBidi"/>
        </w:rPr>
        <w:t>, at 16.</w:t>
      </w:r>
    </w:p>
  </w:footnote>
  <w:footnote w:id="215">
    <w:p w14:paraId="4AF31071" w14:textId="635F2909" w:rsidR="001A3CF6" w:rsidRPr="009E1C1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Save the Children, </w:t>
      </w:r>
      <w:r w:rsidRPr="009E1C12">
        <w:rPr>
          <w:rFonts w:asciiTheme="majorBidi" w:hAnsiTheme="majorBidi" w:cstheme="majorBidi"/>
          <w:smallCaps/>
        </w:rPr>
        <w:t>Keeping Children out of Harmful Institutions: Why we should be investing in family-based care</w:t>
      </w:r>
      <w:r w:rsidRPr="008F50FE">
        <w:rPr>
          <w:rFonts w:asciiTheme="majorBidi" w:hAnsiTheme="majorBidi" w:cstheme="majorBidi"/>
          <w:smallCaps/>
        </w:rPr>
        <w:t>,</w:t>
      </w:r>
      <w:r w:rsidRPr="009E1C12">
        <w:rPr>
          <w:rFonts w:asciiTheme="majorBidi" w:hAnsiTheme="majorBidi" w:cstheme="majorBidi"/>
          <w:smallCaps/>
        </w:rPr>
        <w:t xml:space="preserve"> </w:t>
      </w:r>
      <w:r w:rsidRPr="009E1C12">
        <w:rPr>
          <w:rFonts w:asciiTheme="majorBidi" w:hAnsiTheme="majorBidi" w:cstheme="majorBidi"/>
        </w:rPr>
        <w:t>7 (2009).</w:t>
      </w:r>
    </w:p>
  </w:footnote>
  <w:footnote w:id="216">
    <w:p w14:paraId="69CA91D8" w14:textId="20602671" w:rsidR="001A3CF6" w:rsidRPr="009E1C12" w:rsidRDefault="001A3CF6" w:rsidP="00AC3B22">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iCs/>
        </w:rPr>
        <w:t>Threats continue against DRI staff in Mexico</w:t>
      </w:r>
      <w:r w:rsidRPr="009E1C12">
        <w:rPr>
          <w:rFonts w:asciiTheme="majorBidi" w:hAnsiTheme="majorBidi" w:cstheme="majorBidi"/>
        </w:rPr>
        <w:t xml:space="preserve"> </w:t>
      </w:r>
      <w:r w:rsidRPr="008F50FE">
        <w:rPr>
          <w:rFonts w:asciiTheme="majorBidi" w:hAnsiTheme="majorBidi" w:cstheme="majorBidi"/>
        </w:rPr>
        <w:t>(</w:t>
      </w:r>
      <w:r w:rsidRPr="009E1C12">
        <w:rPr>
          <w:rFonts w:asciiTheme="majorBidi" w:hAnsiTheme="majorBidi" w:cstheme="majorBidi"/>
        </w:rPr>
        <w:t>ABC Evening News with David Muir,</w:t>
      </w:r>
      <w:r w:rsidRPr="008F50FE">
        <w:rPr>
          <w:rFonts w:asciiTheme="majorBidi" w:hAnsiTheme="majorBidi" w:cstheme="majorBidi"/>
        </w:rPr>
        <w:t xml:space="preserve"> television broadcast</w:t>
      </w:r>
      <w:r w:rsidRPr="009E1C12">
        <w:rPr>
          <w:rFonts w:asciiTheme="majorBidi" w:hAnsiTheme="majorBidi" w:cstheme="majorBidi"/>
        </w:rPr>
        <w:t xml:space="preserve"> May 12, 2016</w:t>
      </w:r>
      <w:r w:rsidRPr="008F50FE">
        <w:rPr>
          <w:rFonts w:asciiTheme="majorBidi" w:hAnsiTheme="majorBidi" w:cstheme="majorBidi"/>
        </w:rPr>
        <w:t>)</w:t>
      </w:r>
      <w:r w:rsidRPr="009E1C12">
        <w:rPr>
          <w:rFonts w:asciiTheme="majorBidi" w:hAnsiTheme="majorBidi" w:cstheme="majorBidi"/>
        </w:rPr>
        <w:t>.</w:t>
      </w:r>
    </w:p>
  </w:footnote>
  <w:footnote w:id="217">
    <w:p w14:paraId="1B4A00A9" w14:textId="72A07B51" w:rsidR="001A3CF6" w:rsidRPr="007924C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Karen Green McGowan, RN, personal correspondence, October 5, 2016.</w:t>
      </w:r>
      <w:r>
        <w:rPr>
          <w:rFonts w:asciiTheme="majorBidi" w:hAnsiTheme="majorBidi" w:cstheme="majorBidi"/>
        </w:rPr>
        <w:t xml:space="preserve">  Willowbrook was an institution, located in Staten Island, NY, that housed more than 5,000 people with disabilities. Following exposure of abuses at the facility and a federal lawsuit, the facility was closed down in the 1970’s. Karen Green McGowan (then Karen Green) was a witness in the federal case and an expert who assisted in planning for the full community integration of all residents of Willowbrook.  </w:t>
      </w:r>
      <w:r>
        <w:rPr>
          <w:rFonts w:asciiTheme="majorBidi" w:hAnsiTheme="majorBidi" w:cstheme="majorBidi"/>
          <w:i/>
        </w:rPr>
        <w:t xml:space="preserve">See </w:t>
      </w:r>
      <w:r>
        <w:rPr>
          <w:rFonts w:asciiTheme="majorBidi" w:hAnsiTheme="majorBidi" w:cstheme="majorBidi"/>
        </w:rPr>
        <w:t xml:space="preserve">David Rothman and Sheila Rothman, </w:t>
      </w:r>
      <w:r w:rsidRPr="007924C2">
        <w:rPr>
          <w:rFonts w:asciiTheme="majorBidi" w:hAnsiTheme="majorBidi" w:cstheme="majorBidi"/>
          <w:smallCaps/>
        </w:rPr>
        <w:t>The Willowbrook Wars</w:t>
      </w:r>
      <w:r>
        <w:rPr>
          <w:rFonts w:asciiTheme="majorBidi" w:hAnsiTheme="majorBidi" w:cstheme="majorBidi"/>
        </w:rPr>
        <w:t xml:space="preserve"> (2005)(describing the history of the lawsuit and community integration of Willowbrook residents).</w:t>
      </w:r>
    </w:p>
  </w:footnote>
  <w:footnote w:id="218">
    <w:p w14:paraId="01080A2C" w14:textId="1CDE7852" w:rsidR="001A3CF6" w:rsidRPr="009E1C12" w:rsidRDefault="001A3CF6" w:rsidP="002726E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Raymond A. Lemay, </w:t>
      </w:r>
      <w:r w:rsidRPr="009E1C12">
        <w:rPr>
          <w:rFonts w:asciiTheme="majorBidi" w:hAnsiTheme="majorBidi" w:cstheme="majorBidi"/>
          <w:i/>
          <w:iCs/>
        </w:rPr>
        <w:t>Deinstitutionalization of People with Developmental Disabilities: A Review of the Literature</w:t>
      </w:r>
      <w:r w:rsidRPr="009E1C12">
        <w:rPr>
          <w:rFonts w:asciiTheme="majorBidi" w:hAnsiTheme="majorBidi" w:cstheme="majorBidi"/>
        </w:rPr>
        <w:t>, 28 Canadian Journal of Community Mental Health, 188-190 (2009).</w:t>
      </w:r>
    </w:p>
  </w:footnote>
  <w:footnote w:id="219">
    <w:p w14:paraId="6FC089F2" w14:textId="522445A7" w:rsidR="001A3CF6" w:rsidRPr="009E1C12" w:rsidRDefault="001A3CF6" w:rsidP="00072008">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5B561C">
        <w:rPr>
          <w:rFonts w:asciiTheme="majorBidi" w:hAnsiTheme="majorBidi" w:cstheme="majorBidi"/>
        </w:rPr>
        <w:t xml:space="preserve">UNICEF: State of the World’s Children (2013), </w:t>
      </w:r>
      <w:r w:rsidRPr="00401EFD">
        <w:rPr>
          <w:rFonts w:asciiTheme="majorBidi" w:hAnsiTheme="majorBidi" w:cstheme="majorBidi"/>
          <w:i/>
        </w:rPr>
        <w:t xml:space="preserve">supra </w:t>
      </w:r>
      <w:r w:rsidRPr="00401EFD">
        <w:rPr>
          <w:rFonts w:asciiTheme="majorBidi" w:hAnsiTheme="majorBidi" w:cstheme="majorBidi"/>
        </w:rPr>
        <w:t xml:space="preserve">note </w:t>
      </w:r>
      <w:r w:rsidRPr="00401EFD">
        <w:rPr>
          <w:rFonts w:asciiTheme="majorBidi" w:hAnsiTheme="majorBidi" w:cstheme="majorBidi"/>
        </w:rPr>
        <w:fldChar w:fldCharType="begin"/>
      </w:r>
      <w:r w:rsidRPr="00401EFD">
        <w:rPr>
          <w:rFonts w:asciiTheme="majorBidi" w:hAnsiTheme="majorBidi" w:cstheme="majorBidi"/>
        </w:rPr>
        <w:instrText xml:space="preserve"> NOTEREF _Ref464126805 \h  \* MERGEFORMAT </w:instrText>
      </w:r>
      <w:r w:rsidRPr="00401EFD">
        <w:rPr>
          <w:rFonts w:asciiTheme="majorBidi" w:hAnsiTheme="majorBidi" w:cstheme="majorBidi"/>
        </w:rPr>
      </w:r>
      <w:r w:rsidRPr="00401EFD">
        <w:rPr>
          <w:rFonts w:asciiTheme="majorBidi" w:hAnsiTheme="majorBidi" w:cstheme="majorBidi"/>
        </w:rPr>
        <w:fldChar w:fldCharType="separate"/>
      </w:r>
      <w:r>
        <w:rPr>
          <w:rFonts w:asciiTheme="majorBidi" w:hAnsiTheme="majorBidi" w:cstheme="majorBidi"/>
        </w:rPr>
        <w:t>55</w:t>
      </w:r>
      <w:r w:rsidRPr="00401EFD">
        <w:rPr>
          <w:rFonts w:asciiTheme="majorBidi" w:hAnsiTheme="majorBidi" w:cstheme="majorBidi"/>
        </w:rPr>
        <w:fldChar w:fldCharType="end"/>
      </w:r>
      <w:r w:rsidRPr="005B561C">
        <w:rPr>
          <w:rFonts w:asciiTheme="majorBidi" w:hAnsiTheme="majorBidi" w:cstheme="majorBidi"/>
        </w:rPr>
        <w:t xml:space="preserve">, </w:t>
      </w:r>
      <w:r>
        <w:rPr>
          <w:rFonts w:asciiTheme="majorBidi" w:hAnsiTheme="majorBidi" w:cstheme="majorBidi"/>
        </w:rPr>
        <w:t xml:space="preserve">at </w:t>
      </w:r>
      <w:r w:rsidRPr="005B561C">
        <w:rPr>
          <w:rFonts w:asciiTheme="majorBidi" w:hAnsiTheme="majorBidi" w:cstheme="majorBidi"/>
        </w:rPr>
        <w:t>80.</w:t>
      </w:r>
    </w:p>
  </w:footnote>
  <w:footnote w:id="220">
    <w:p w14:paraId="56998DEE" w14:textId="581A8621" w:rsidR="001A3CF6" w:rsidRPr="009E1C12" w:rsidRDefault="001A3CF6" w:rsidP="00072008">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6F294C">
        <w:rPr>
          <w:rFonts w:ascii="Times New Roman" w:hAnsi="Times New Roman" w:cs="Times New Roman"/>
        </w:rPr>
        <w:t>Méndez</w:t>
      </w:r>
      <w:r w:rsidRPr="006F38B8">
        <w:rPr>
          <w:rFonts w:asciiTheme="majorBidi" w:hAnsiTheme="majorBidi" w:cstheme="majorBidi"/>
        </w:rPr>
        <w:t xml:space="preserve"> </w:t>
      </w:r>
      <w:r w:rsidRPr="009E1C12">
        <w:rPr>
          <w:rFonts w:asciiTheme="majorBidi" w:hAnsiTheme="majorBidi" w:cstheme="majorBidi"/>
        </w:rPr>
        <w:t xml:space="preserve">2015 Report, </w:t>
      </w:r>
      <w:r w:rsidRPr="006F294C">
        <w:rPr>
          <w:rFonts w:asciiTheme="majorBidi" w:hAnsiTheme="majorBidi" w:cstheme="majorBidi"/>
          <w:i/>
        </w:rPr>
        <w:t>supra</w:t>
      </w:r>
      <w:r w:rsidRPr="006F294C">
        <w:rPr>
          <w:rFonts w:asciiTheme="majorBidi" w:hAnsiTheme="majorBidi" w:cstheme="majorBidi"/>
        </w:rPr>
        <w:t xml:space="preserve"> note </w:t>
      </w:r>
      <w:r w:rsidRPr="00BD234E">
        <w:rPr>
          <w:rFonts w:asciiTheme="majorBidi" w:hAnsiTheme="majorBidi" w:cstheme="majorBidi"/>
        </w:rPr>
        <w:t>2</w:t>
      </w:r>
      <w:r>
        <w:rPr>
          <w:rFonts w:asciiTheme="majorBidi" w:hAnsiTheme="majorBidi" w:cstheme="majorBidi"/>
        </w:rPr>
        <w:t xml:space="preserve">, para. </w:t>
      </w:r>
      <w:r w:rsidRPr="009E1C12">
        <w:rPr>
          <w:rFonts w:asciiTheme="majorBidi" w:hAnsiTheme="majorBidi" w:cstheme="majorBidi"/>
        </w:rPr>
        <w:t>84(q).</w:t>
      </w:r>
      <w:r w:rsidRPr="008F50FE">
        <w:rPr>
          <w:rFonts w:asciiTheme="majorBidi" w:hAnsiTheme="majorBidi" w:cstheme="majorBidi"/>
        </w:rPr>
        <w:t xml:space="preserve"> </w:t>
      </w:r>
    </w:p>
  </w:footnote>
  <w:footnote w:id="221">
    <w:p w14:paraId="5BE6C923" w14:textId="4515407F" w:rsidR="001A3CF6" w:rsidRPr="009E1C12" w:rsidRDefault="001A3CF6" w:rsidP="00072008">
      <w:pPr>
        <w:pStyle w:val="FootnoteText"/>
        <w:rPr>
          <w:rFonts w:asciiTheme="majorBidi" w:hAnsiTheme="majorBidi" w:cstheme="majorBidi"/>
        </w:rPr>
      </w:pPr>
      <w:r w:rsidRPr="009E1C12">
        <w:rPr>
          <w:rStyle w:val="FootnoteReference"/>
          <w:rFonts w:asciiTheme="majorBidi" w:hAnsiTheme="majorBidi" w:cstheme="majorBidi"/>
        </w:rPr>
        <w:footnoteRef/>
      </w:r>
      <w:r>
        <w:rPr>
          <w:rFonts w:asciiTheme="majorBidi" w:hAnsiTheme="majorBidi" w:cstheme="majorBidi"/>
        </w:rPr>
        <w:t xml:space="preserve"> Id. at para.</w:t>
      </w:r>
      <w:r w:rsidRPr="009E1C12">
        <w:rPr>
          <w:rFonts w:asciiTheme="majorBidi" w:hAnsiTheme="majorBidi" w:cstheme="majorBidi"/>
        </w:rPr>
        <w:t xml:space="preserve"> 84(a)</w:t>
      </w:r>
      <w:r w:rsidRPr="008F50FE">
        <w:rPr>
          <w:rFonts w:asciiTheme="majorBidi" w:hAnsiTheme="majorBidi" w:cstheme="majorBidi"/>
        </w:rPr>
        <w:t xml:space="preserve"> </w:t>
      </w:r>
    </w:p>
  </w:footnote>
  <w:footnote w:id="222">
    <w:p w14:paraId="3FBF3036" w14:textId="4E4D5F95" w:rsidR="001A3CF6" w:rsidRPr="009E1C12" w:rsidRDefault="001A3CF6" w:rsidP="00072008">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 xml:space="preserve">Id. at para. </w:t>
      </w:r>
      <w:r w:rsidRPr="009E1C12">
        <w:rPr>
          <w:rFonts w:asciiTheme="majorBidi" w:hAnsiTheme="majorBidi" w:cstheme="majorBidi"/>
        </w:rPr>
        <w:t>84(r)</w:t>
      </w:r>
      <w:r w:rsidRPr="008F50FE">
        <w:rPr>
          <w:rFonts w:asciiTheme="majorBidi" w:hAnsiTheme="majorBidi" w:cstheme="majorBidi"/>
        </w:rPr>
        <w:t xml:space="preserve"> </w:t>
      </w:r>
    </w:p>
  </w:footnote>
  <w:footnote w:id="223">
    <w:p w14:paraId="24A9620F" w14:textId="77777777" w:rsidR="001A3CF6" w:rsidRPr="009E1C12" w:rsidRDefault="001A3CF6" w:rsidP="00072008">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p>
  </w:footnote>
  <w:footnote w:id="224">
    <w:p w14:paraId="4F88D74B" w14:textId="7A969F4A"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Implementing the </w:t>
      </w:r>
      <w:r w:rsidRPr="00211C8F">
        <w:rPr>
          <w:rFonts w:asciiTheme="majorBidi" w:hAnsiTheme="majorBidi" w:cstheme="majorBidi"/>
        </w:rPr>
        <w:t xml:space="preserve">Guidelines, </w:t>
      </w:r>
      <w:r w:rsidRPr="00211C8F">
        <w:rPr>
          <w:rFonts w:asciiTheme="majorBidi" w:hAnsiTheme="majorBidi" w:cstheme="majorBidi"/>
          <w:i/>
        </w:rPr>
        <w:t>supra</w:t>
      </w:r>
      <w:r w:rsidRPr="00211C8F">
        <w:rPr>
          <w:rFonts w:asciiTheme="majorBidi" w:hAnsiTheme="majorBidi" w:cstheme="majorBidi"/>
        </w:rPr>
        <w:t xml:space="preserve"> </w:t>
      </w:r>
      <w:r w:rsidRPr="00B57B6A">
        <w:rPr>
          <w:rFonts w:asciiTheme="majorBidi" w:hAnsiTheme="majorBidi" w:cstheme="majorBidi"/>
        </w:rPr>
        <w:t xml:space="preserve">note </w:t>
      </w:r>
      <w:r w:rsidRPr="00B57B6A">
        <w:rPr>
          <w:rFonts w:asciiTheme="majorBidi" w:hAnsiTheme="majorBidi" w:cstheme="majorBidi"/>
        </w:rPr>
        <w:fldChar w:fldCharType="begin"/>
      </w:r>
      <w:r w:rsidRPr="00B57B6A">
        <w:rPr>
          <w:rFonts w:asciiTheme="majorBidi" w:hAnsiTheme="majorBidi" w:cstheme="majorBidi"/>
        </w:rPr>
        <w:instrText xml:space="preserve"> NOTEREF _Ref464126366 \h  \* MERGEFORMAT </w:instrText>
      </w:r>
      <w:r w:rsidRPr="00B57B6A">
        <w:rPr>
          <w:rFonts w:asciiTheme="majorBidi" w:hAnsiTheme="majorBidi" w:cstheme="majorBidi"/>
        </w:rPr>
      </w:r>
      <w:r w:rsidRPr="00B57B6A">
        <w:rPr>
          <w:rFonts w:asciiTheme="majorBidi" w:hAnsiTheme="majorBidi" w:cstheme="majorBidi"/>
        </w:rPr>
        <w:fldChar w:fldCharType="separate"/>
      </w:r>
      <w:r>
        <w:rPr>
          <w:rFonts w:asciiTheme="majorBidi" w:hAnsiTheme="majorBidi" w:cstheme="majorBidi"/>
        </w:rPr>
        <w:t>18</w:t>
      </w:r>
      <w:r w:rsidRPr="00B57B6A">
        <w:rPr>
          <w:rFonts w:asciiTheme="majorBidi" w:hAnsiTheme="majorBidi" w:cstheme="majorBidi"/>
        </w:rPr>
        <w:fldChar w:fldCharType="end"/>
      </w:r>
      <w:r w:rsidRPr="00211C8F">
        <w:rPr>
          <w:rFonts w:asciiTheme="majorBidi" w:hAnsiTheme="majorBidi" w:cstheme="majorBidi"/>
        </w:rPr>
        <w:t>.</w:t>
      </w:r>
    </w:p>
  </w:footnote>
  <w:footnote w:id="225">
    <w:p w14:paraId="611FFB0A" w14:textId="2C82D08E" w:rsidR="001A3CF6" w:rsidRPr="00C02BC0" w:rsidRDefault="001A3CF6">
      <w:pPr>
        <w:pStyle w:val="FootnoteText"/>
        <w:rPr>
          <w:rFonts w:asciiTheme="majorBidi" w:hAnsiTheme="majorBidi" w:cstheme="majorBidi"/>
        </w:rPr>
      </w:pPr>
      <w:r w:rsidRPr="00FE378E">
        <w:rPr>
          <w:rStyle w:val="FootnoteReference"/>
          <w:rFonts w:asciiTheme="majorBidi" w:hAnsiTheme="majorBidi" w:cstheme="majorBidi"/>
        </w:rPr>
        <w:footnoteRef/>
      </w:r>
      <w:r w:rsidRPr="00B57B6A">
        <w:rPr>
          <w:rFonts w:asciiTheme="majorBidi" w:hAnsiTheme="majorBidi" w:cstheme="majorBidi"/>
        </w:rPr>
        <w:t xml:space="preserve"> DRI Georgia Report, </w:t>
      </w:r>
      <w:r w:rsidRPr="00B57B6A">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_Ref466623094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170</w:t>
      </w:r>
      <w:r>
        <w:rPr>
          <w:rFonts w:asciiTheme="majorBidi" w:hAnsiTheme="majorBidi" w:cstheme="majorBidi"/>
        </w:rPr>
        <w:fldChar w:fldCharType="end"/>
      </w:r>
      <w:r w:rsidRPr="00B57B6A">
        <w:rPr>
          <w:rFonts w:asciiTheme="majorBidi" w:hAnsiTheme="majorBidi" w:cstheme="majorBidi"/>
        </w:rPr>
        <w:t>, at 22</w:t>
      </w:r>
      <w:r w:rsidRPr="00FE378E">
        <w:rPr>
          <w:rFonts w:asciiTheme="majorBidi" w:hAnsiTheme="majorBidi" w:cstheme="majorBidi"/>
        </w:rPr>
        <w:t>.</w:t>
      </w:r>
    </w:p>
  </w:footnote>
  <w:footnote w:id="226">
    <w:p w14:paraId="2B7D501C" w14:textId="2DAEC78E" w:rsidR="001A3CF6" w:rsidRPr="00C02BC0" w:rsidRDefault="001A3CF6" w:rsidP="00A97730">
      <w:pPr>
        <w:pStyle w:val="FootnoteText"/>
        <w:rPr>
          <w:rFonts w:asciiTheme="majorBidi" w:hAnsiTheme="majorBidi" w:cstheme="majorBidi"/>
        </w:rPr>
      </w:pPr>
      <w:r w:rsidRPr="00C02BC0">
        <w:rPr>
          <w:rStyle w:val="FootnoteReference"/>
          <w:rFonts w:asciiTheme="majorBidi" w:hAnsiTheme="majorBidi" w:cstheme="majorBidi"/>
        </w:rPr>
        <w:footnoteRef/>
      </w:r>
      <w:r w:rsidRPr="00C02BC0">
        <w:rPr>
          <w:rFonts w:asciiTheme="majorBidi" w:hAnsiTheme="majorBidi" w:cstheme="majorBidi"/>
        </w:rPr>
        <w:t xml:space="preserve"> </w:t>
      </w:r>
      <w:r w:rsidRPr="00C02BC0">
        <w:rPr>
          <w:rFonts w:asciiTheme="majorBidi" w:hAnsiTheme="majorBidi" w:cstheme="majorBidi"/>
          <w:i/>
        </w:rPr>
        <w:t>Id.</w:t>
      </w:r>
      <w:r w:rsidRPr="00C02BC0">
        <w:rPr>
          <w:rFonts w:asciiTheme="majorBidi" w:hAnsiTheme="majorBidi" w:cstheme="majorBidi"/>
        </w:rPr>
        <w:t xml:space="preserve"> at 22.</w:t>
      </w:r>
    </w:p>
  </w:footnote>
  <w:footnote w:id="227">
    <w:p w14:paraId="257045C3" w14:textId="69E40805" w:rsidR="001A3CF6" w:rsidRPr="00FE378E" w:rsidRDefault="001A3CF6">
      <w:pPr>
        <w:pStyle w:val="FootnoteText"/>
        <w:rPr>
          <w:rFonts w:asciiTheme="majorBidi" w:hAnsiTheme="majorBidi" w:cstheme="majorBidi"/>
          <w:i/>
        </w:rPr>
      </w:pPr>
      <w:r w:rsidRPr="00FE378E">
        <w:rPr>
          <w:rStyle w:val="FootnoteReference"/>
          <w:rFonts w:asciiTheme="majorBidi" w:hAnsiTheme="majorBidi" w:cstheme="majorBidi"/>
        </w:rPr>
        <w:footnoteRef/>
      </w:r>
      <w:r w:rsidRPr="00FE378E">
        <w:rPr>
          <w:rFonts w:asciiTheme="majorBidi" w:hAnsiTheme="majorBidi" w:cstheme="majorBidi"/>
        </w:rPr>
        <w:t xml:space="preserve"> </w:t>
      </w:r>
      <w:r w:rsidRPr="00FE378E">
        <w:rPr>
          <w:rFonts w:asciiTheme="majorBidi" w:hAnsiTheme="majorBidi" w:cstheme="majorBidi"/>
          <w:i/>
        </w:rPr>
        <w:t>Id.</w:t>
      </w:r>
    </w:p>
  </w:footnote>
  <w:footnote w:id="228">
    <w:p w14:paraId="0A108710" w14:textId="18DDA60B" w:rsidR="001A3CF6" w:rsidRPr="009E1C12" w:rsidRDefault="001A3CF6" w:rsidP="00243E8F">
      <w:pPr>
        <w:autoSpaceDE w:val="0"/>
        <w:autoSpaceDN w:val="0"/>
        <w:adjustRightInd w:val="0"/>
        <w:spacing w:after="0" w:line="240" w:lineRule="auto"/>
        <w:rPr>
          <w:rFonts w:asciiTheme="majorBidi" w:hAnsiTheme="majorBidi" w:cstheme="majorBidi"/>
          <w:color w:val="000000"/>
          <w:sz w:val="20"/>
          <w:szCs w:val="20"/>
        </w:rPr>
      </w:pPr>
      <w:r w:rsidRPr="00DF480F">
        <w:rPr>
          <w:rStyle w:val="FootnoteReference"/>
          <w:rFonts w:asciiTheme="majorBidi" w:hAnsiTheme="majorBidi" w:cstheme="majorBidi"/>
          <w:sz w:val="20"/>
          <w:szCs w:val="20"/>
        </w:rPr>
        <w:footnoteRef/>
      </w:r>
      <w:r w:rsidRPr="00DF480F">
        <w:rPr>
          <w:rFonts w:asciiTheme="majorBidi" w:hAnsiTheme="majorBidi" w:cstheme="majorBidi"/>
          <w:sz w:val="20"/>
          <w:szCs w:val="20"/>
        </w:rPr>
        <w:t xml:space="preserve"> Partnership</w:t>
      </w:r>
      <w:r>
        <w:rPr>
          <w:rFonts w:asciiTheme="majorBidi" w:hAnsiTheme="majorBidi" w:cstheme="majorBidi"/>
          <w:sz w:val="20"/>
          <w:szCs w:val="20"/>
        </w:rPr>
        <w:t xml:space="preserve"> for Children, “Equal Treatment to the Schools of Faith: Final Report October 2015-2016” iii (2016) (report on file with the author).</w:t>
      </w:r>
    </w:p>
  </w:footnote>
  <w:footnote w:id="229">
    <w:p w14:paraId="14D0887D" w14:textId="7798966B"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 xml:space="preserve">DRI Romania Report, </w:t>
      </w:r>
      <w:r w:rsidRPr="00B57B6A">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_Ref464126924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rPr>
          <w:rFonts w:asciiTheme="majorBidi" w:hAnsiTheme="majorBidi" w:cstheme="majorBidi"/>
        </w:rPr>
        <w:t>, at</w:t>
      </w:r>
      <w:r w:rsidRPr="009E1C12" w:rsidDel="00C02BC0">
        <w:rPr>
          <w:rFonts w:asciiTheme="majorBidi" w:hAnsiTheme="majorBidi" w:cstheme="majorBidi"/>
        </w:rPr>
        <w:t xml:space="preserve"> </w:t>
      </w:r>
      <w:r w:rsidRPr="009E1C12">
        <w:rPr>
          <w:rFonts w:asciiTheme="majorBidi" w:hAnsiTheme="majorBidi" w:cstheme="majorBidi"/>
        </w:rPr>
        <w:t>iii.</w:t>
      </w:r>
    </w:p>
  </w:footnote>
  <w:footnote w:id="230">
    <w:p w14:paraId="04DD5BD1" w14:textId="019F0FF4" w:rsidR="001A3CF6" w:rsidRPr="009E1C12" w:rsidRDefault="001A3CF6">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p>
  </w:footnote>
  <w:footnote w:id="231">
    <w:p w14:paraId="63B05890" w14:textId="61C89A96"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CRPD, art. 16(2).</w:t>
      </w:r>
    </w:p>
  </w:footnote>
  <w:footnote w:id="232">
    <w:p w14:paraId="06FB5B8C" w14:textId="5E176B4C"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CRPD, art. 4(3).</w:t>
      </w:r>
    </w:p>
  </w:footnote>
  <w:footnote w:id="233">
    <w:p w14:paraId="1F11EB36" w14:textId="25AA43AC"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CRPD, art. 16(4).</w:t>
      </w:r>
    </w:p>
  </w:footnote>
  <w:footnote w:id="234">
    <w:p w14:paraId="5E0E6A48" w14:textId="77777777" w:rsidR="001A3CF6" w:rsidRPr="009E1C12" w:rsidRDefault="001A3CF6" w:rsidP="00B505AF">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p>
  </w:footnote>
  <w:footnote w:id="235">
    <w:p w14:paraId="6A10453D" w14:textId="7FE78F28" w:rsidR="001A3CF6" w:rsidRPr="009E1C12" w:rsidRDefault="001A3CF6" w:rsidP="00B505AF">
      <w:pPr>
        <w:pStyle w:val="FootnoteText"/>
        <w:rPr>
          <w:rFonts w:asciiTheme="majorBidi" w:hAnsiTheme="majorBidi" w:cstheme="majorBidi"/>
        </w:rPr>
      </w:pPr>
      <w:r w:rsidRPr="009E1C12">
        <w:rPr>
          <w:rStyle w:val="FootnoteReference"/>
          <w:rFonts w:asciiTheme="majorBidi" w:hAnsiTheme="majorBidi" w:cstheme="majorBidi"/>
        </w:rPr>
        <w:footnoteRef/>
      </w:r>
      <w:r>
        <w:rPr>
          <w:rFonts w:asciiTheme="majorBidi" w:hAnsiTheme="majorBidi" w:cstheme="majorBidi"/>
        </w:rPr>
        <w:t xml:space="preserve"> Parker,</w:t>
      </w:r>
      <w:r w:rsidRPr="009E1C12">
        <w:rPr>
          <w:rFonts w:asciiTheme="majorBidi" w:hAnsiTheme="majorBidi" w:cstheme="majorBidi"/>
        </w:rPr>
        <w:t xml:space="preserve"> </w:t>
      </w:r>
      <w:r w:rsidRPr="009E1C12">
        <w:rPr>
          <w:rFonts w:asciiTheme="majorBidi" w:hAnsiTheme="majorBidi" w:cstheme="majorBidi"/>
          <w:i/>
        </w:rPr>
        <w:t xml:space="preserve">supra </w:t>
      </w:r>
      <w:r w:rsidRPr="009E1C12">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_Ref465943512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23</w:t>
      </w:r>
      <w:r>
        <w:rPr>
          <w:rFonts w:asciiTheme="majorBidi" w:hAnsiTheme="majorBidi" w:cstheme="majorBidi"/>
        </w:rPr>
        <w:fldChar w:fldCharType="end"/>
      </w:r>
      <w:r w:rsidRPr="009E1C12">
        <w:rPr>
          <w:rFonts w:asciiTheme="majorBidi" w:hAnsiTheme="majorBidi" w:cstheme="majorBidi"/>
        </w:rPr>
        <w:t xml:space="preserve"> at 30.</w:t>
      </w:r>
    </w:p>
  </w:footnote>
  <w:footnote w:id="236">
    <w:p w14:paraId="0D3D2362" w14:textId="1DC128CE" w:rsidR="001A3CF6" w:rsidRPr="009E1C12" w:rsidRDefault="001A3CF6" w:rsidP="00B505AF">
      <w:pPr>
        <w:pStyle w:val="FootnoteText"/>
        <w:rPr>
          <w:rFonts w:asciiTheme="majorBidi" w:hAnsiTheme="majorBidi" w:cstheme="majorBidi"/>
          <w:smallCaps/>
        </w:rPr>
      </w:pPr>
      <w:r w:rsidRPr="009E1C12">
        <w:rPr>
          <w:rStyle w:val="FootnoteReference"/>
          <w:rFonts w:asciiTheme="majorBidi" w:hAnsiTheme="majorBidi" w:cstheme="majorBidi"/>
        </w:rPr>
        <w:footnoteRef/>
      </w:r>
      <w:r w:rsidRPr="009E1C12">
        <w:rPr>
          <w:rFonts w:asciiTheme="majorBidi" w:hAnsiTheme="majorBidi" w:cstheme="majorBidi"/>
        </w:rPr>
        <w:t xml:space="preserve"> World Health Organization Regional Office for Europe (2010), </w:t>
      </w:r>
      <w:r w:rsidRPr="009E1C12">
        <w:rPr>
          <w:rFonts w:asciiTheme="majorBidi" w:hAnsiTheme="majorBidi" w:cstheme="majorBidi"/>
          <w:i/>
          <w:iCs/>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_Ref336389679 \h </w:instrText>
      </w:r>
      <w:r w:rsidRPr="008F50FE">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76</w:t>
      </w:r>
      <w:r w:rsidRPr="009E1C12">
        <w:rPr>
          <w:rFonts w:asciiTheme="majorBidi" w:hAnsiTheme="majorBidi" w:cstheme="majorBidi"/>
        </w:rPr>
        <w:fldChar w:fldCharType="end"/>
      </w:r>
      <w:r w:rsidRPr="009E1C12">
        <w:rPr>
          <w:rFonts w:asciiTheme="majorBidi" w:hAnsiTheme="majorBidi" w:cstheme="majorBidi"/>
        </w:rPr>
        <w:t xml:space="preserve">, </w:t>
      </w:r>
      <w:r w:rsidRPr="008F50FE">
        <w:rPr>
          <w:rFonts w:asciiTheme="majorBidi" w:hAnsiTheme="majorBidi" w:cstheme="majorBidi"/>
        </w:rPr>
        <w:t>p</w:t>
      </w:r>
      <w:r w:rsidRPr="009E1C12">
        <w:rPr>
          <w:rFonts w:asciiTheme="majorBidi" w:hAnsiTheme="majorBidi" w:cstheme="majorBidi"/>
        </w:rPr>
        <w:t>ara. 5.</w:t>
      </w:r>
    </w:p>
  </w:footnote>
  <w:footnote w:id="237">
    <w:p w14:paraId="7D83217E" w14:textId="66FBD9AB" w:rsidR="001A3CF6" w:rsidRPr="009E1C12" w:rsidRDefault="001A3CF6" w:rsidP="00B505A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8F50FE">
        <w:rPr>
          <w:rFonts w:asciiTheme="majorBidi" w:hAnsiTheme="majorBidi" w:cstheme="majorBidi"/>
          <w:i/>
        </w:rPr>
        <w:t>,</w:t>
      </w:r>
      <w:r w:rsidRPr="009E1C12">
        <w:rPr>
          <w:rFonts w:asciiTheme="majorBidi" w:hAnsiTheme="majorBidi" w:cstheme="majorBidi"/>
        </w:rPr>
        <w:t xml:space="preserve"> “Action Plan” at 9.</w:t>
      </w:r>
    </w:p>
  </w:footnote>
  <w:footnote w:id="238">
    <w:p w14:paraId="2AA8D623" w14:textId="66DA5B8C" w:rsidR="001A3CF6" w:rsidRPr="009E1C12" w:rsidRDefault="001A3CF6" w:rsidP="00B505A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8F50FE">
        <w:rPr>
          <w:rFonts w:asciiTheme="majorBidi" w:hAnsiTheme="majorBidi" w:cstheme="majorBidi"/>
          <w:i/>
        </w:rPr>
        <w:t>,</w:t>
      </w:r>
      <w:r w:rsidRPr="009E1C12">
        <w:rPr>
          <w:rFonts w:asciiTheme="majorBidi" w:hAnsiTheme="majorBidi" w:cstheme="majorBidi"/>
        </w:rPr>
        <w:t xml:space="preserve"> Bucharest Declaration, para. 3.</w:t>
      </w:r>
    </w:p>
  </w:footnote>
  <w:footnote w:id="239">
    <w:p w14:paraId="2A2BBDD4" w14:textId="61F6EF4F" w:rsidR="001A3CF6" w:rsidRPr="009E1C12" w:rsidRDefault="001A3CF6" w:rsidP="00B505A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8F50FE">
        <w:rPr>
          <w:rFonts w:asciiTheme="majorBidi" w:hAnsiTheme="majorBidi" w:cstheme="majorBidi"/>
          <w:i/>
        </w:rPr>
        <w:t>,</w:t>
      </w:r>
      <w:r w:rsidRPr="009E1C12">
        <w:rPr>
          <w:rFonts w:asciiTheme="majorBidi" w:hAnsiTheme="majorBidi" w:cstheme="majorBidi"/>
        </w:rPr>
        <w:t xml:space="preserve"> at 9.</w:t>
      </w:r>
    </w:p>
  </w:footnote>
  <w:footnote w:id="240">
    <w:p w14:paraId="6B1E41EF" w14:textId="5947A7A7" w:rsidR="001A3CF6" w:rsidRPr="009E1C12" w:rsidRDefault="001A3CF6" w:rsidP="00B505A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8F50FE">
        <w:rPr>
          <w:rFonts w:asciiTheme="majorBidi" w:hAnsiTheme="majorBidi" w:cstheme="majorBidi"/>
          <w:i/>
        </w:rPr>
        <w:t>,</w:t>
      </w:r>
      <w:r w:rsidRPr="009E1C12">
        <w:rPr>
          <w:rFonts w:asciiTheme="majorBidi" w:hAnsiTheme="majorBidi" w:cstheme="majorBidi"/>
        </w:rPr>
        <w:t xml:space="preserve"> para. 1.</w:t>
      </w:r>
    </w:p>
  </w:footnote>
  <w:footnote w:id="241">
    <w:p w14:paraId="02D45874" w14:textId="1BD9E666" w:rsidR="001A3CF6" w:rsidRPr="009E1C12" w:rsidRDefault="001A3CF6" w:rsidP="00B505A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The </w:t>
      </w:r>
      <w:r>
        <w:rPr>
          <w:rFonts w:asciiTheme="majorBidi" w:hAnsiTheme="majorBidi" w:cstheme="majorBidi"/>
        </w:rPr>
        <w:t xml:space="preserve">“Action Plan” </w:t>
      </w:r>
      <w:r w:rsidRPr="009E1C12">
        <w:rPr>
          <w:rFonts w:asciiTheme="majorBidi" w:hAnsiTheme="majorBidi" w:cstheme="majorBidi"/>
        </w:rPr>
        <w:t xml:space="preserve">describes the termination of new placements – not limited to any particular age group – as a “necessary first step” that has “proved, in combination with deinstitutionalization, capable of acting as a forceful stimulus for developing modern and effective care services for children and families in the community.” WHO (2010), </w:t>
      </w:r>
      <w:r w:rsidRPr="003F200A">
        <w:rPr>
          <w:rFonts w:asciiTheme="majorBidi" w:hAnsiTheme="majorBidi" w:cstheme="majorBidi"/>
          <w:i/>
        </w:rPr>
        <w:t>supra</w:t>
      </w:r>
      <w:r w:rsidRPr="003F200A">
        <w:rPr>
          <w:rFonts w:asciiTheme="majorBidi" w:hAnsiTheme="majorBidi" w:cstheme="majorBidi"/>
        </w:rPr>
        <w:t xml:space="preserve"> note </w:t>
      </w:r>
      <w:r w:rsidRPr="003F200A">
        <w:rPr>
          <w:rFonts w:asciiTheme="majorBidi" w:hAnsiTheme="majorBidi" w:cstheme="majorBidi"/>
        </w:rPr>
        <w:fldChar w:fldCharType="begin"/>
      </w:r>
      <w:r w:rsidRPr="003F200A">
        <w:rPr>
          <w:rFonts w:asciiTheme="majorBidi" w:hAnsiTheme="majorBidi" w:cstheme="majorBidi"/>
        </w:rPr>
        <w:instrText xml:space="preserve"> NOTEREF _Ref336389679 \h  \* MERGEFORMAT </w:instrText>
      </w:r>
      <w:r w:rsidRPr="003F200A">
        <w:rPr>
          <w:rFonts w:asciiTheme="majorBidi" w:hAnsiTheme="majorBidi" w:cstheme="majorBidi"/>
        </w:rPr>
      </w:r>
      <w:r w:rsidRPr="003F200A">
        <w:rPr>
          <w:rFonts w:asciiTheme="majorBidi" w:hAnsiTheme="majorBidi" w:cstheme="majorBidi"/>
        </w:rPr>
        <w:fldChar w:fldCharType="separate"/>
      </w:r>
      <w:r>
        <w:rPr>
          <w:rFonts w:asciiTheme="majorBidi" w:hAnsiTheme="majorBidi" w:cstheme="majorBidi"/>
        </w:rPr>
        <w:t>76</w:t>
      </w:r>
      <w:r w:rsidRPr="003F200A">
        <w:rPr>
          <w:rFonts w:asciiTheme="majorBidi" w:hAnsiTheme="majorBidi" w:cstheme="majorBidi"/>
        </w:rPr>
        <w:fldChar w:fldCharType="end"/>
      </w:r>
      <w:r w:rsidRPr="003F200A">
        <w:rPr>
          <w:rFonts w:asciiTheme="majorBidi" w:hAnsiTheme="majorBidi" w:cstheme="majorBidi"/>
        </w:rPr>
        <w:t>,</w:t>
      </w:r>
      <w:r w:rsidRPr="009E1C12">
        <w:rPr>
          <w:rFonts w:asciiTheme="majorBidi" w:hAnsiTheme="majorBidi" w:cstheme="majorBidi"/>
        </w:rPr>
        <w:t xml:space="preserve"> at 13. </w:t>
      </w:r>
    </w:p>
  </w:footnote>
  <w:footnote w:id="242">
    <w:p w14:paraId="2751F98A" w14:textId="16473AAF" w:rsidR="001A3CF6" w:rsidRPr="009E1C12" w:rsidRDefault="001A3CF6" w:rsidP="00B505A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The report goes on to say that, even while moving swiftly toward deinstitutionalization, some funding for institutions would be needed “to make them acceptable, humane environments for the children placed in them, no matter how temporary. Training and support to their staff is of paramount importance, both to improve current practices pending closing and because many of them will continue to work with people with disabilities in the future, after deinstitutionalization.” </w:t>
      </w:r>
      <w:r w:rsidRPr="009E1C12">
        <w:rPr>
          <w:rFonts w:asciiTheme="majorBidi" w:hAnsiTheme="majorBidi" w:cstheme="majorBidi"/>
          <w:i/>
        </w:rPr>
        <w:t>Id.</w:t>
      </w:r>
      <w:r w:rsidRPr="008F50FE">
        <w:rPr>
          <w:rFonts w:asciiTheme="majorBidi" w:hAnsiTheme="majorBidi" w:cstheme="majorBidi"/>
        </w:rPr>
        <w:t xml:space="preserve">, </w:t>
      </w:r>
      <w:r w:rsidRPr="009E1C12">
        <w:rPr>
          <w:rFonts w:asciiTheme="majorBidi" w:hAnsiTheme="majorBidi" w:cstheme="majorBidi"/>
        </w:rPr>
        <w:t>21.</w:t>
      </w:r>
    </w:p>
  </w:footnote>
  <w:footnote w:id="243">
    <w:p w14:paraId="6AA89E79" w14:textId="1E666848" w:rsidR="001A3CF6" w:rsidRPr="009E1C12" w:rsidRDefault="001A3CF6" w:rsidP="004412B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9E1C12">
        <w:rPr>
          <w:rFonts w:asciiTheme="majorBidi" w:hAnsiTheme="majorBidi" w:cstheme="majorBidi"/>
        </w:rPr>
        <w:t>.</w:t>
      </w:r>
      <w:r>
        <w:rPr>
          <w:rFonts w:asciiTheme="majorBidi" w:hAnsiTheme="majorBidi" w:cstheme="majorBidi"/>
        </w:rPr>
        <w:t xml:space="preserve"> at</w:t>
      </w:r>
      <w:r w:rsidRPr="009E1C12">
        <w:rPr>
          <w:rFonts w:asciiTheme="majorBidi" w:hAnsiTheme="majorBidi" w:cstheme="majorBidi"/>
        </w:rPr>
        <w:t xml:space="preserve"> </w:t>
      </w:r>
      <w:r w:rsidRPr="008F50FE">
        <w:rPr>
          <w:rFonts w:asciiTheme="majorBidi" w:hAnsiTheme="majorBidi" w:cstheme="majorBidi"/>
        </w:rPr>
        <w:t xml:space="preserve">para. </w:t>
      </w:r>
      <w:r w:rsidRPr="009E1C12">
        <w:rPr>
          <w:rFonts w:asciiTheme="majorBidi" w:hAnsiTheme="majorBidi" w:cstheme="majorBidi"/>
        </w:rPr>
        <w:t>84(c).</w:t>
      </w:r>
    </w:p>
  </w:footnote>
  <w:footnote w:id="244">
    <w:p w14:paraId="61D474D3" w14:textId="729CB240" w:rsidR="001A3CF6" w:rsidRPr="009E1C12" w:rsidRDefault="001A3CF6" w:rsidP="004412BB">
      <w:pPr>
        <w:pStyle w:val="FootnoteText"/>
        <w:rPr>
          <w:rFonts w:asciiTheme="majorBidi" w:hAnsiTheme="majorBidi" w:cstheme="majorBidi"/>
          <w:lang w:val="es-MX"/>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w:t>
      </w:r>
      <w:r>
        <w:rPr>
          <w:rFonts w:ascii="Times New Roman" w:hAnsi="Times New Roman" w:cs="Times New Roman"/>
        </w:rPr>
        <w:t>Torture in Healthcare Report</w:t>
      </w:r>
      <w:r w:rsidRPr="009E1C12">
        <w:rPr>
          <w:rFonts w:asciiTheme="majorBidi" w:hAnsiTheme="majorBidi" w:cstheme="majorBidi"/>
          <w:lang w:val="es-MX"/>
        </w:rPr>
        <w:t xml:space="preserve">, </w:t>
      </w:r>
      <w:r w:rsidRPr="009E1C12">
        <w:rPr>
          <w:rFonts w:asciiTheme="majorBidi" w:hAnsiTheme="majorBidi" w:cstheme="majorBidi"/>
          <w:i/>
          <w:lang w:val="es-MX"/>
        </w:rPr>
        <w:t>supra</w:t>
      </w:r>
      <w:r w:rsidRPr="009E1C12">
        <w:rPr>
          <w:rFonts w:asciiTheme="majorBidi" w:hAnsiTheme="majorBidi" w:cstheme="majorBidi"/>
          <w:lang w:val="es-MX"/>
        </w:rPr>
        <w:t xml:space="preserve"> note 12, para.</w:t>
      </w:r>
      <w:r w:rsidRPr="008F50FE">
        <w:rPr>
          <w:rFonts w:asciiTheme="majorBidi" w:hAnsiTheme="majorBidi" w:cstheme="majorBidi"/>
          <w:lang w:val="es-MX"/>
        </w:rPr>
        <w:t xml:space="preserve"> </w:t>
      </w:r>
      <w:r w:rsidRPr="009E1C12">
        <w:rPr>
          <w:rFonts w:asciiTheme="majorBidi" w:hAnsiTheme="majorBidi" w:cstheme="majorBidi"/>
          <w:lang w:val="es-MX"/>
        </w:rPr>
        <w:t>68.</w:t>
      </w:r>
    </w:p>
  </w:footnote>
  <w:footnote w:id="245">
    <w:p w14:paraId="2E92BFEF" w14:textId="77777777" w:rsidR="001A3CF6" w:rsidRPr="009E1C12" w:rsidRDefault="001A3CF6" w:rsidP="004412B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lang w:val="es-MX"/>
        </w:rPr>
        <w:t xml:space="preserve"> Guidelines, paras. </w:t>
      </w:r>
      <w:r w:rsidRPr="009E1C12">
        <w:rPr>
          <w:rFonts w:asciiTheme="majorBidi" w:hAnsiTheme="majorBidi" w:cstheme="majorBidi"/>
        </w:rPr>
        <w:t>2(c) and 2 (d).</w:t>
      </w:r>
    </w:p>
  </w:footnote>
  <w:footnote w:id="246">
    <w:p w14:paraId="4EDA0246" w14:textId="37357569" w:rsidR="001A3CF6" w:rsidRPr="009E1C12" w:rsidRDefault="001A3CF6" w:rsidP="004412BB">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Pr>
          <w:rFonts w:asciiTheme="majorBidi" w:hAnsiTheme="majorBidi" w:cstheme="majorBidi"/>
        </w:rPr>
        <w:t xml:space="preserve"> at</w:t>
      </w:r>
      <w:r w:rsidRPr="009E1C12">
        <w:rPr>
          <w:rFonts w:asciiTheme="majorBidi" w:hAnsiTheme="majorBidi" w:cstheme="majorBidi"/>
          <w:i/>
        </w:rPr>
        <w:t xml:space="preserve"> </w:t>
      </w:r>
      <w:r w:rsidRPr="00C32F22">
        <w:rPr>
          <w:rFonts w:asciiTheme="majorBidi" w:hAnsiTheme="majorBidi" w:cstheme="majorBidi"/>
        </w:rPr>
        <w:t>para</w:t>
      </w:r>
      <w:r w:rsidRPr="009E1C12">
        <w:rPr>
          <w:rFonts w:asciiTheme="majorBidi" w:hAnsiTheme="majorBidi" w:cstheme="majorBidi"/>
          <w:i/>
        </w:rPr>
        <w:t>.</w:t>
      </w:r>
      <w:r w:rsidRPr="008F50FE">
        <w:rPr>
          <w:rFonts w:asciiTheme="majorBidi" w:hAnsiTheme="majorBidi" w:cstheme="majorBidi"/>
          <w:i/>
        </w:rPr>
        <w:t xml:space="preserve"> </w:t>
      </w:r>
      <w:r w:rsidRPr="009E1C12">
        <w:rPr>
          <w:rFonts w:asciiTheme="majorBidi" w:hAnsiTheme="majorBidi" w:cstheme="majorBidi"/>
          <w:i/>
        </w:rPr>
        <w:t>23.</w:t>
      </w:r>
    </w:p>
  </w:footnote>
  <w:footnote w:id="247">
    <w:p w14:paraId="440E78D9" w14:textId="43F298E3" w:rsidR="001A3CF6" w:rsidRPr="009E1C12" w:rsidRDefault="001A3CF6">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ICESCR, art. 2(1); CRPD, art.4(2).  </w:t>
      </w:r>
      <w:r w:rsidRPr="009E1C12">
        <w:rPr>
          <w:rFonts w:asciiTheme="majorBidi" w:hAnsiTheme="majorBidi" w:cstheme="majorBidi"/>
          <w:i/>
        </w:rPr>
        <w:t xml:space="preserve">See generally </w:t>
      </w:r>
      <w:r w:rsidRPr="009E1C12">
        <w:rPr>
          <w:rFonts w:asciiTheme="majorBidi" w:hAnsiTheme="majorBidi" w:cstheme="majorBidi"/>
        </w:rPr>
        <w:t xml:space="preserve">Stephen P. Marks, </w:t>
      </w:r>
      <w:r w:rsidRPr="009E1C12">
        <w:rPr>
          <w:rFonts w:asciiTheme="majorBidi" w:hAnsiTheme="majorBidi" w:cstheme="majorBidi"/>
          <w:i/>
          <w:iCs/>
        </w:rPr>
        <w:t>The Past and Future of the Separation of Human Rights into Categories</w:t>
      </w:r>
      <w:r w:rsidRPr="009E1C12">
        <w:rPr>
          <w:rFonts w:asciiTheme="majorBidi" w:hAnsiTheme="majorBidi" w:cstheme="majorBidi"/>
        </w:rPr>
        <w:t xml:space="preserve"> 24 Md. J. Int’l L. 209, 221 (2009).</w:t>
      </w:r>
    </w:p>
  </w:footnote>
  <w:footnote w:id="248">
    <w:p w14:paraId="1C961817" w14:textId="1A97F675" w:rsidR="001A3CF6" w:rsidRPr="009E1C12" w:rsidRDefault="001A3CF6" w:rsidP="009D6F37">
      <w:pPr>
        <w:spacing w:after="0" w:line="240" w:lineRule="auto"/>
        <w:rPr>
          <w:rFonts w:asciiTheme="majorBidi"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To strengthen the obligation, the UN Committee on Economic, Social, and Cultural Rights adopted Committee on Economic, Social and Cultural Rights, General Comment #3, to give this obligation some teeth “…while the full realization of the relevant right may be achieved progressively, steps toward that goal must be taken within a reasonably short time….Such steps should be deliberate, concrete, and targeted as clearly as possible toward meeting the obligations recognized in the Covenant.”   UN Committee on Economic and Social Rights, General Comment No.3: The Nature of States Parties’ Obligations (Art.2, Para. 1, of the Covenant), E/1991/23, December 13, 1990, para.2.</w:t>
      </w:r>
    </w:p>
  </w:footnote>
  <w:footnote w:id="249">
    <w:p w14:paraId="13A965D2" w14:textId="7A961942" w:rsidR="001A3CF6" w:rsidRPr="009E1C12" w:rsidRDefault="001A3CF6">
      <w:pPr>
        <w:pStyle w:val="FootnoteText"/>
        <w:rPr>
          <w:rFonts w:asciiTheme="majorBidi" w:hAnsiTheme="majorBidi" w:cstheme="majorBidi"/>
          <w:b/>
        </w:rPr>
      </w:pPr>
      <w:r w:rsidRPr="005416CF">
        <w:rPr>
          <w:rStyle w:val="FootnoteReference"/>
          <w:rFonts w:asciiTheme="majorBidi" w:hAnsiTheme="majorBidi" w:cstheme="majorBidi"/>
        </w:rPr>
        <w:footnoteRef/>
      </w:r>
      <w:r w:rsidRPr="005416CF">
        <w:rPr>
          <w:rFonts w:asciiTheme="majorBidi" w:hAnsiTheme="majorBidi" w:cstheme="majorBidi"/>
        </w:rPr>
        <w:t xml:space="preserve"> The ICESCR Committee has stated that governments must “do much more than merely abstain from taking measures which might have a negative impact on persons with disabilities.  The obligation in the case of such a </w:t>
      </w:r>
      <w:r w:rsidRPr="00016E6A">
        <w:rPr>
          <w:rFonts w:asciiTheme="majorBidi" w:hAnsiTheme="majorBidi" w:cstheme="majorBidi"/>
        </w:rPr>
        <w:t>vulnerable and disadvantaged group is to take positive action to reduce structural disadvantages and to give appropriate preferential treatment to people with disabilities in order to achieve the objectives of full participation and equity within society for all persons with disabilities.  This almost invariably means that additional resources will need to be made available for this purpose.”   General Comment #5 U.N. Doc. E/1993/22, 11</w:t>
      </w:r>
      <w:r w:rsidRPr="00016E6A">
        <w:rPr>
          <w:rFonts w:asciiTheme="majorBidi" w:hAnsiTheme="majorBidi" w:cstheme="majorBidi"/>
          <w:vertAlign w:val="superscript"/>
        </w:rPr>
        <w:t>th</w:t>
      </w:r>
      <w:r w:rsidRPr="00016E6A">
        <w:rPr>
          <w:rFonts w:asciiTheme="majorBidi" w:hAnsiTheme="majorBidi" w:cstheme="majorBidi"/>
        </w:rPr>
        <w:t xml:space="preserve"> Sess., para 3 (1993).</w:t>
      </w:r>
    </w:p>
  </w:footnote>
  <w:footnote w:id="250">
    <w:p w14:paraId="4526E9F8" w14:textId="77777777" w:rsidR="001A3CF6" w:rsidRPr="009E1C12" w:rsidRDefault="001A3CF6" w:rsidP="004412B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“Analyses of children of all agencies in Romania, Ukraine, Moldova, and Russia show that institutional care is six times more expensive than providing social services to vulnerable families or voluntary kinship carers [and] three times for expensive than professional foster care…” Save the Children, “The Risk of Harm to Young Children in Institutional Care” 6 (2009).</w:t>
      </w:r>
    </w:p>
  </w:footnote>
  <w:footnote w:id="251">
    <w:p w14:paraId="00EAB11B" w14:textId="6C3B06CB" w:rsidR="001A3CF6" w:rsidRPr="009E1C12" w:rsidRDefault="001A3CF6" w:rsidP="004412B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Europe Regional Office of the </w:t>
      </w:r>
      <w:r w:rsidRPr="00EF3FA4">
        <w:rPr>
          <w:rFonts w:asciiTheme="majorBidi" w:hAnsiTheme="majorBidi" w:cstheme="majorBidi"/>
        </w:rPr>
        <w:t>O</w:t>
      </w:r>
      <w:r w:rsidRPr="009E1C12">
        <w:rPr>
          <w:rFonts w:asciiTheme="majorBidi" w:hAnsiTheme="majorBidi" w:cstheme="majorBidi"/>
        </w:rPr>
        <w:t xml:space="preserve">HCHR (2011), </w:t>
      </w:r>
      <w:r w:rsidRPr="009E1C12">
        <w:rPr>
          <w:rFonts w:asciiTheme="majorBidi" w:hAnsiTheme="majorBidi" w:cstheme="majorBidi"/>
          <w:i/>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_Ref334698833 \h </w:instrText>
      </w:r>
      <w:r w:rsidRPr="008F50FE">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66</w:t>
      </w:r>
      <w:r w:rsidRPr="009E1C12">
        <w:rPr>
          <w:rFonts w:asciiTheme="majorBidi" w:hAnsiTheme="majorBidi" w:cstheme="majorBidi"/>
        </w:rPr>
        <w:fldChar w:fldCharType="end"/>
      </w:r>
      <w:r w:rsidRPr="009E1C12">
        <w:rPr>
          <w:rFonts w:asciiTheme="majorBidi" w:hAnsiTheme="majorBidi" w:cstheme="majorBidi"/>
        </w:rPr>
        <w:t xml:space="preserve"> at 3</w:t>
      </w:r>
      <w:r>
        <w:rPr>
          <w:rFonts w:asciiTheme="majorBidi" w:hAnsiTheme="majorBidi" w:cstheme="majorBidi"/>
        </w:rPr>
        <w:t>0</w:t>
      </w:r>
      <w:r w:rsidRPr="009E1C12">
        <w:rPr>
          <w:rFonts w:asciiTheme="majorBidi" w:hAnsiTheme="majorBidi" w:cstheme="majorBidi"/>
        </w:rPr>
        <w:t>.</w:t>
      </w:r>
    </w:p>
  </w:footnote>
  <w:footnote w:id="252">
    <w:p w14:paraId="7617B99B" w14:textId="531E41BF" w:rsidR="001A3CF6" w:rsidRPr="009E1C12" w:rsidRDefault="001A3CF6" w:rsidP="004412B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Pr>
          <w:rFonts w:asciiTheme="majorBidi" w:hAnsiTheme="majorBidi" w:cstheme="majorBidi"/>
        </w:rPr>
        <w:t>Id.</w:t>
      </w:r>
    </w:p>
  </w:footnote>
  <w:footnote w:id="253">
    <w:p w14:paraId="073871D6" w14:textId="7FF0F6B5" w:rsidR="001A3CF6" w:rsidRPr="009E1C12" w:rsidRDefault="001A3CF6" w:rsidP="004412B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OHC</w:t>
      </w:r>
      <w:r w:rsidRPr="008F50FE">
        <w:rPr>
          <w:rFonts w:asciiTheme="majorBidi" w:hAnsiTheme="majorBidi" w:cstheme="majorBidi"/>
        </w:rPr>
        <w:t>H</w:t>
      </w:r>
      <w:r w:rsidRPr="009E1C12">
        <w:rPr>
          <w:rFonts w:asciiTheme="majorBidi" w:hAnsiTheme="majorBidi" w:cstheme="majorBidi"/>
        </w:rPr>
        <w:t xml:space="preserve">R, </w:t>
      </w:r>
      <w:r w:rsidRPr="009E1C12">
        <w:rPr>
          <w:rFonts w:asciiTheme="majorBidi" w:hAnsiTheme="majorBidi" w:cstheme="majorBidi"/>
          <w:i/>
        </w:rPr>
        <w:t>supra</w:t>
      </w:r>
      <w:r w:rsidRPr="009E1C12">
        <w:rPr>
          <w:rFonts w:asciiTheme="majorBidi" w:hAnsiTheme="majorBidi" w:cstheme="majorBidi"/>
        </w:rPr>
        <w:t xml:space="preserve"> note</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_Ref334698833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66</w:t>
      </w:r>
      <w:r>
        <w:rPr>
          <w:rFonts w:asciiTheme="majorBidi" w:hAnsiTheme="majorBidi" w:cstheme="majorBidi"/>
        </w:rPr>
        <w:fldChar w:fldCharType="end"/>
      </w:r>
      <w:r w:rsidRPr="009E1C12">
        <w:rPr>
          <w:rFonts w:asciiTheme="majorBidi" w:hAnsiTheme="majorBidi" w:cstheme="majorBidi"/>
        </w:rPr>
        <w:t xml:space="preserve">, at 30. </w:t>
      </w:r>
    </w:p>
  </w:footnote>
  <w:footnote w:id="254">
    <w:p w14:paraId="674C8E1A" w14:textId="0269A4CB" w:rsidR="001A3CF6" w:rsidRPr="009E1C12" w:rsidRDefault="001A3CF6">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p>
  </w:footnote>
  <w:footnote w:id="255">
    <w:p w14:paraId="1B73E268" w14:textId="5753CA20" w:rsidR="001A3CF6" w:rsidRPr="009E1C12" w:rsidRDefault="001A3CF6" w:rsidP="004412BB">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European Commissioner on Human Rights (2012), </w:t>
      </w:r>
      <w:r w:rsidRPr="009E1C12">
        <w:rPr>
          <w:rFonts w:asciiTheme="majorBidi" w:hAnsiTheme="majorBidi" w:cstheme="majorBidi"/>
          <w:i/>
        </w:rPr>
        <w:t>supra</w:t>
      </w:r>
      <w:r w:rsidRPr="009E1C12">
        <w:rPr>
          <w:rFonts w:asciiTheme="majorBidi" w:hAnsiTheme="majorBidi" w:cstheme="majorBidi"/>
        </w:rPr>
        <w:t xml:space="preserve"> note </w:t>
      </w:r>
      <w:r w:rsidRPr="009E1C12">
        <w:rPr>
          <w:rFonts w:asciiTheme="majorBidi" w:hAnsiTheme="majorBidi" w:cstheme="majorBidi"/>
        </w:rPr>
        <w:fldChar w:fldCharType="begin"/>
      </w:r>
      <w:r w:rsidRPr="009E1C12">
        <w:rPr>
          <w:rFonts w:asciiTheme="majorBidi" w:hAnsiTheme="majorBidi" w:cstheme="majorBidi"/>
        </w:rPr>
        <w:instrText xml:space="preserve"> NOTEREF _Ref336371165 \h </w:instrText>
      </w:r>
      <w:r w:rsidRPr="008F50FE">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77</w:t>
      </w:r>
      <w:r w:rsidRPr="009E1C12">
        <w:rPr>
          <w:rFonts w:asciiTheme="majorBidi" w:hAnsiTheme="majorBidi" w:cstheme="majorBidi"/>
        </w:rPr>
        <w:fldChar w:fldCharType="end"/>
      </w:r>
      <w:r w:rsidRPr="009E1C12">
        <w:rPr>
          <w:rFonts w:asciiTheme="majorBidi" w:hAnsiTheme="majorBidi" w:cstheme="majorBidi"/>
        </w:rPr>
        <w:t>,</w:t>
      </w:r>
      <w:r>
        <w:rPr>
          <w:rFonts w:asciiTheme="majorBidi" w:hAnsiTheme="majorBidi" w:cstheme="majorBidi"/>
        </w:rPr>
        <w:t xml:space="preserve"> at</w:t>
      </w:r>
      <w:r w:rsidRPr="009E1C12">
        <w:rPr>
          <w:rFonts w:asciiTheme="majorBidi" w:hAnsiTheme="majorBidi" w:cstheme="majorBidi"/>
        </w:rPr>
        <w:t xml:space="preserve"> 21.</w:t>
      </w:r>
    </w:p>
  </w:footnote>
  <w:footnote w:id="256">
    <w:p w14:paraId="136C1F4D" w14:textId="4ACD2BF4"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r w:rsidRPr="00B57B6A">
        <w:rPr>
          <w:rFonts w:asciiTheme="majorBidi" w:hAnsiTheme="majorBidi" w:cstheme="majorBidi"/>
        </w:rPr>
        <w:t xml:space="preserve"> at</w:t>
      </w:r>
      <w:r w:rsidRPr="009E1C12">
        <w:rPr>
          <w:rFonts w:asciiTheme="majorBidi" w:hAnsiTheme="majorBidi" w:cstheme="majorBidi"/>
          <w:i/>
        </w:rPr>
        <w:t xml:space="preserve"> </w:t>
      </w:r>
      <w:r w:rsidRPr="009E1C12">
        <w:rPr>
          <w:rFonts w:asciiTheme="majorBidi" w:hAnsiTheme="majorBidi" w:cstheme="majorBidi"/>
        </w:rPr>
        <w:t>5.</w:t>
      </w:r>
    </w:p>
  </w:footnote>
  <w:footnote w:id="257">
    <w:p w14:paraId="36BCB191" w14:textId="57CAED91" w:rsidR="001A3CF6" w:rsidRPr="009E1C12" w:rsidRDefault="001A3CF6">
      <w:pPr>
        <w:pStyle w:val="FootnoteText"/>
        <w:rPr>
          <w:rFonts w:asciiTheme="majorBidi" w:hAnsiTheme="majorBidi" w:cstheme="majorBidi"/>
          <w: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Id.</w:t>
      </w:r>
    </w:p>
  </w:footnote>
  <w:footnote w:id="258">
    <w:p w14:paraId="47C16415" w14:textId="5A9118D8" w:rsidR="001A3CF6" w:rsidRPr="009E1C12" w:rsidRDefault="001A3CF6" w:rsidP="004412BB">
      <w:pPr>
        <w:pStyle w:val="FootnoteText"/>
        <w:rPr>
          <w:rFonts w:asciiTheme="majorBidi" w:hAnsiTheme="majorBidi" w:cstheme="majorBidi"/>
        </w:rPr>
      </w:pPr>
      <w:r w:rsidRPr="00733902">
        <w:rPr>
          <w:rStyle w:val="FootnoteReference"/>
          <w:rFonts w:asciiTheme="majorBidi" w:hAnsiTheme="majorBidi" w:cstheme="majorBidi"/>
        </w:rPr>
        <w:footnoteRef/>
      </w:r>
      <w:r w:rsidRPr="00733902">
        <w:rPr>
          <w:rFonts w:asciiTheme="majorBidi" w:hAnsiTheme="majorBidi" w:cstheme="majorBidi"/>
        </w:rPr>
        <w:t xml:space="preserve"> Torture in Healthcare</w:t>
      </w:r>
      <w:r>
        <w:rPr>
          <w:rFonts w:asciiTheme="majorBidi" w:hAnsiTheme="majorBidi" w:cstheme="majorBidi"/>
        </w:rPr>
        <w:t xml:space="preserve"> Report</w:t>
      </w:r>
      <w:r w:rsidRPr="00733902">
        <w:rPr>
          <w:rFonts w:asciiTheme="majorBidi" w:hAnsiTheme="majorBidi" w:cstheme="majorBidi"/>
        </w:rPr>
        <w:t>,</w:t>
      </w:r>
      <w:r>
        <w:rPr>
          <w:rFonts w:asciiTheme="majorBidi" w:hAnsiTheme="majorBidi" w:cstheme="majorBidi"/>
        </w:rPr>
        <w:t xml:space="preserve"> </w:t>
      </w:r>
      <w:r>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_Ref471315098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92</w:t>
      </w:r>
      <w:r>
        <w:rPr>
          <w:rFonts w:asciiTheme="majorBidi" w:hAnsiTheme="majorBidi" w:cstheme="majorBidi"/>
        </w:rPr>
        <w:fldChar w:fldCharType="end"/>
      </w:r>
      <w:r>
        <w:rPr>
          <w:rFonts w:asciiTheme="majorBidi" w:hAnsiTheme="majorBidi" w:cstheme="majorBidi"/>
          <w:i/>
        </w:rPr>
        <w:t xml:space="preserve"> </w:t>
      </w:r>
      <w:r w:rsidRPr="00733902">
        <w:rPr>
          <w:rFonts w:asciiTheme="majorBidi" w:hAnsiTheme="majorBidi" w:cstheme="majorBidi"/>
        </w:rPr>
        <w:t xml:space="preserve"> at para. 83.</w:t>
      </w:r>
    </w:p>
  </w:footnote>
  <w:footnote w:id="259">
    <w:p w14:paraId="33D09FA4" w14:textId="045CBA6E" w:rsidR="001A3CF6" w:rsidRPr="009E1C12" w:rsidRDefault="001A3CF6">
      <w:pPr>
        <w:pStyle w:val="FootnoteText"/>
        <w:rPr>
          <w:rFonts w:asciiTheme="majorBidi" w:hAnsiTheme="majorBidi" w:cstheme="majorBidi"/>
        </w:rPr>
      </w:pPr>
      <w:r w:rsidRPr="00B30B1A">
        <w:rPr>
          <w:rStyle w:val="FootnoteReference"/>
          <w:rFonts w:asciiTheme="majorBidi" w:hAnsiTheme="majorBidi" w:cstheme="majorBidi"/>
        </w:rPr>
        <w:footnoteRef/>
      </w:r>
      <w:r w:rsidRPr="00B30B1A">
        <w:rPr>
          <w:rFonts w:asciiTheme="majorBidi" w:hAnsiTheme="majorBidi" w:cstheme="majorBidi"/>
        </w:rPr>
        <w:t xml:space="preserve"> </w:t>
      </w:r>
      <w:r w:rsidRPr="00B30B1A">
        <w:rPr>
          <w:rFonts w:asciiTheme="majorBidi" w:hAnsiTheme="majorBidi" w:cstheme="majorBidi"/>
          <w:i/>
        </w:rPr>
        <w:t>See, e.g. Stanev v. Bulgaria, supra</w:t>
      </w:r>
      <w:r w:rsidRPr="00B30B1A">
        <w:rPr>
          <w:rFonts w:asciiTheme="majorBidi" w:hAnsiTheme="majorBidi" w:cstheme="majorBidi"/>
        </w:rPr>
        <w:t xml:space="preserve"> note</w:t>
      </w:r>
      <w:r>
        <w:rPr>
          <w:rFonts w:asciiTheme="majorBidi" w:hAnsiTheme="majorBidi" w:cstheme="majorBidi"/>
        </w:rPr>
        <w:t xml:space="preserve"> </w:t>
      </w:r>
      <w:r w:rsidRPr="00B30B1A">
        <w:rPr>
          <w:rFonts w:asciiTheme="majorBidi" w:hAnsiTheme="majorBidi" w:cstheme="majorBidi"/>
        </w:rPr>
        <w:fldChar w:fldCharType="begin"/>
      </w:r>
      <w:r w:rsidRPr="00B30B1A">
        <w:rPr>
          <w:rFonts w:asciiTheme="majorBidi" w:hAnsiTheme="majorBidi" w:cstheme="majorBidi"/>
        </w:rPr>
        <w:instrText xml:space="preserve"> NOTEREF _Ref471314804 \h </w:instrText>
      </w:r>
      <w:r>
        <w:rPr>
          <w:rFonts w:asciiTheme="majorBidi" w:hAnsiTheme="majorBidi" w:cstheme="majorBidi"/>
        </w:rPr>
        <w:instrText xml:space="preserve"> \* MERGEFORMAT </w:instrText>
      </w:r>
      <w:r w:rsidRPr="00B30B1A">
        <w:rPr>
          <w:rFonts w:asciiTheme="majorBidi" w:hAnsiTheme="majorBidi" w:cstheme="majorBidi"/>
        </w:rPr>
      </w:r>
      <w:r w:rsidRPr="00B30B1A">
        <w:rPr>
          <w:rFonts w:asciiTheme="majorBidi" w:hAnsiTheme="majorBidi" w:cstheme="majorBidi"/>
        </w:rPr>
        <w:fldChar w:fldCharType="separate"/>
      </w:r>
      <w:r>
        <w:rPr>
          <w:rFonts w:asciiTheme="majorBidi" w:hAnsiTheme="majorBidi" w:cstheme="majorBidi"/>
        </w:rPr>
        <w:t>33</w:t>
      </w:r>
      <w:r w:rsidRPr="00B30B1A">
        <w:rPr>
          <w:rFonts w:asciiTheme="majorBidi" w:hAnsiTheme="majorBidi" w:cstheme="majorBidi"/>
        </w:rPr>
        <w:fldChar w:fldCharType="end"/>
      </w:r>
      <w:r w:rsidRPr="00B30B1A">
        <w:rPr>
          <w:rFonts w:asciiTheme="majorBidi" w:hAnsiTheme="majorBidi" w:cstheme="majorBidi"/>
        </w:rPr>
        <w:t>, para. 210.</w:t>
      </w:r>
    </w:p>
  </w:footnote>
  <w:footnote w:id="260">
    <w:p w14:paraId="61294B39" w14:textId="77777777" w:rsidR="001A3CF6" w:rsidRPr="009E1C12" w:rsidRDefault="001A3CF6" w:rsidP="004412BB">
      <w:pPr>
        <w:pStyle w:val="FootnoteText"/>
        <w:rPr>
          <w:rFonts w:asciiTheme="majorBidi" w:hAnsiTheme="majorBidi" w:cstheme="majorBidi"/>
        </w:rPr>
      </w:pPr>
      <w:r w:rsidRPr="00DF480F">
        <w:rPr>
          <w:rStyle w:val="FootnoteReference"/>
          <w:rFonts w:asciiTheme="majorBidi" w:hAnsiTheme="majorBidi" w:cstheme="majorBidi"/>
        </w:rPr>
        <w:footnoteRef/>
      </w:r>
      <w:r w:rsidRPr="00DF480F">
        <w:rPr>
          <w:rFonts w:asciiTheme="majorBidi" w:hAnsiTheme="majorBidi" w:cstheme="majorBidi"/>
        </w:rPr>
        <w:t xml:space="preserve"> “Analyses of children of all agencies in Romania, Ukraine, Moldova, and Russia show that institutional care is six times more expensive than providing social services to vulnerable families or voluntary kinship carers [and] three times for expensive than professional foster care…” Save the Children, “The Risk of Harm to Young Children in Institutional Care” 6 (2009).</w:t>
      </w:r>
      <w:r w:rsidRPr="009E1C12">
        <w:rPr>
          <w:rFonts w:asciiTheme="majorBidi" w:hAnsiTheme="majorBidi" w:cstheme="majorBidi"/>
        </w:rPr>
        <w:t xml:space="preserve"> </w:t>
      </w:r>
    </w:p>
  </w:footnote>
  <w:footnote w:id="261">
    <w:p w14:paraId="0837C27F" w14:textId="70AEF69E" w:rsidR="001A3CF6" w:rsidRPr="009E1C12" w:rsidRDefault="001A3CF6" w:rsidP="004412BB">
      <w:pPr>
        <w:pStyle w:val="FootnoteText"/>
        <w:rPr>
          <w:rFonts w:asciiTheme="majorBidi" w:hAnsiTheme="majorBidi" w:cstheme="majorBidi"/>
        </w:rPr>
      </w:pPr>
      <w:r w:rsidRPr="00000337">
        <w:rPr>
          <w:rStyle w:val="FootnoteReference"/>
          <w:rFonts w:asciiTheme="majorBidi" w:hAnsiTheme="majorBidi" w:cstheme="majorBidi"/>
        </w:rPr>
        <w:footnoteRef/>
      </w:r>
      <w:r>
        <w:rPr>
          <w:rFonts w:asciiTheme="majorBidi" w:hAnsiTheme="majorBidi" w:cstheme="majorBidi"/>
        </w:rPr>
        <w:t xml:space="preserve"> Torture in Healthcare Report</w:t>
      </w:r>
      <w:r w:rsidRPr="00000337">
        <w:rPr>
          <w:rFonts w:asciiTheme="majorBidi" w:hAnsiTheme="majorBidi" w:cstheme="majorBidi"/>
        </w:rPr>
        <w:t xml:space="preserve">, </w:t>
      </w:r>
      <w:r w:rsidRPr="00000337">
        <w:rPr>
          <w:rFonts w:asciiTheme="majorBidi" w:hAnsiTheme="majorBidi" w:cstheme="majorBidi"/>
          <w:i/>
        </w:rPr>
        <w:t>supra</w:t>
      </w:r>
      <w:r w:rsidRPr="00000337">
        <w:rPr>
          <w:rFonts w:asciiTheme="majorBidi" w:hAnsiTheme="majorBidi" w:cstheme="majorBidi"/>
        </w:rPr>
        <w:t xml:space="preserve"> note </w:t>
      </w:r>
      <w:r w:rsidRPr="00000337">
        <w:rPr>
          <w:rFonts w:asciiTheme="majorBidi" w:hAnsiTheme="majorBidi" w:cstheme="majorBidi"/>
        </w:rPr>
        <w:fldChar w:fldCharType="begin"/>
      </w:r>
      <w:r w:rsidRPr="00000337">
        <w:rPr>
          <w:rFonts w:asciiTheme="majorBidi" w:hAnsiTheme="majorBidi" w:cstheme="majorBidi"/>
        </w:rPr>
        <w:instrText xml:space="preserve"> NOTEREF _Ref471315098 \h </w:instrText>
      </w:r>
      <w:r>
        <w:rPr>
          <w:rFonts w:asciiTheme="majorBidi" w:hAnsiTheme="majorBidi" w:cstheme="majorBidi"/>
        </w:rPr>
        <w:instrText xml:space="preserve"> \* MERGEFORMAT </w:instrText>
      </w:r>
      <w:r w:rsidRPr="00000337">
        <w:rPr>
          <w:rFonts w:asciiTheme="majorBidi" w:hAnsiTheme="majorBidi" w:cstheme="majorBidi"/>
        </w:rPr>
      </w:r>
      <w:r w:rsidRPr="00000337">
        <w:rPr>
          <w:rFonts w:asciiTheme="majorBidi" w:hAnsiTheme="majorBidi" w:cstheme="majorBidi"/>
        </w:rPr>
        <w:fldChar w:fldCharType="separate"/>
      </w:r>
      <w:r>
        <w:rPr>
          <w:rFonts w:asciiTheme="majorBidi" w:hAnsiTheme="majorBidi" w:cstheme="majorBidi"/>
        </w:rPr>
        <w:t>92</w:t>
      </w:r>
      <w:r w:rsidRPr="00000337">
        <w:rPr>
          <w:rFonts w:asciiTheme="majorBidi" w:hAnsiTheme="majorBidi" w:cstheme="majorBidi"/>
        </w:rPr>
        <w:fldChar w:fldCharType="end"/>
      </w:r>
      <w:r w:rsidRPr="00000337">
        <w:rPr>
          <w:rFonts w:asciiTheme="majorBidi" w:hAnsiTheme="majorBidi" w:cstheme="majorBidi"/>
        </w:rPr>
        <w:t>. para. 82.</w:t>
      </w:r>
    </w:p>
  </w:footnote>
  <w:footnote w:id="262">
    <w:p w14:paraId="52CD9C89" w14:textId="77B3BD56"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CAT, art. 4.</w:t>
      </w:r>
    </w:p>
  </w:footnote>
  <w:footnote w:id="263">
    <w:p w14:paraId="1BF47F77" w14:textId="76CEBB1D" w:rsidR="001A3CF6" w:rsidRPr="009E1C12" w:rsidRDefault="001A3CF6" w:rsidP="00086847">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CAT art. 14. See discussion in Manfred Nowak &amp; Elizabeth McArthur, </w:t>
      </w:r>
      <w:r w:rsidRPr="009E1C12">
        <w:rPr>
          <w:rFonts w:asciiTheme="majorBidi" w:hAnsiTheme="majorBidi" w:cstheme="majorBidi"/>
          <w:smallCaps/>
        </w:rPr>
        <w:t>The United Nations Convention Against Torture</w:t>
      </w:r>
      <w:r w:rsidRPr="008F50FE">
        <w:rPr>
          <w:rFonts w:asciiTheme="majorBidi" w:hAnsiTheme="majorBidi" w:cstheme="majorBidi"/>
          <w:smallCaps/>
        </w:rPr>
        <w:t xml:space="preserve"> (</w:t>
      </w:r>
      <w:r w:rsidRPr="009E1C12">
        <w:rPr>
          <w:rFonts w:asciiTheme="majorBidi" w:hAnsiTheme="majorBidi" w:cstheme="majorBidi"/>
        </w:rPr>
        <w:t>Oxford University Press, 2008</w:t>
      </w:r>
      <w:r w:rsidRPr="008F50FE">
        <w:rPr>
          <w:rFonts w:asciiTheme="majorBidi" w:hAnsiTheme="majorBidi" w:cstheme="majorBidi"/>
          <w:smallCaps/>
        </w:rPr>
        <w:t>)</w:t>
      </w:r>
      <w:r w:rsidRPr="009E1C12">
        <w:rPr>
          <w:rFonts w:asciiTheme="majorBidi" w:hAnsiTheme="majorBidi" w:cstheme="majorBidi"/>
        </w:rPr>
        <w:t xml:space="preserve"> </w:t>
      </w:r>
      <w:r w:rsidRPr="009E1C12">
        <w:rPr>
          <w:rFonts w:asciiTheme="majorBidi" w:hAnsiTheme="majorBidi" w:cstheme="majorBidi"/>
        </w:rPr>
        <w:fldChar w:fldCharType="begin"/>
      </w:r>
      <w:r w:rsidRPr="009E1C12">
        <w:rPr>
          <w:rFonts w:asciiTheme="majorBidi" w:hAnsiTheme="majorBidi" w:cstheme="majorBidi"/>
        </w:rPr>
        <w:instrText xml:space="preserve"> NOTEREF _Ref464126301 \h </w:instrText>
      </w:r>
      <w:r w:rsidRPr="008F50FE">
        <w:rPr>
          <w:rFonts w:asciiTheme="majorBidi" w:hAnsiTheme="majorBidi" w:cstheme="majorBidi"/>
        </w:rPr>
        <w:instrText xml:space="preserve"> \* MERGEFORMAT </w:instrText>
      </w:r>
      <w:r w:rsidRPr="009E1C12">
        <w:rPr>
          <w:rFonts w:asciiTheme="majorBidi" w:hAnsiTheme="majorBidi" w:cstheme="majorBidi"/>
        </w:rPr>
      </w:r>
      <w:r w:rsidRPr="009E1C12">
        <w:rPr>
          <w:rFonts w:asciiTheme="majorBidi" w:hAnsiTheme="majorBidi" w:cstheme="majorBidi"/>
        </w:rPr>
        <w:fldChar w:fldCharType="separate"/>
      </w:r>
      <w:r>
        <w:rPr>
          <w:rFonts w:asciiTheme="majorBidi" w:hAnsiTheme="majorBidi" w:cstheme="majorBidi"/>
        </w:rPr>
        <w:t>88</w:t>
      </w:r>
      <w:r w:rsidRPr="009E1C12">
        <w:rPr>
          <w:rFonts w:asciiTheme="majorBidi" w:hAnsiTheme="majorBidi" w:cstheme="majorBidi"/>
        </w:rPr>
        <w:fldChar w:fldCharType="end"/>
      </w:r>
      <w:r w:rsidRPr="009E1C12">
        <w:rPr>
          <w:rFonts w:asciiTheme="majorBidi" w:hAnsiTheme="majorBidi" w:cstheme="majorBidi"/>
        </w:rPr>
        <w:t>,10.</w:t>
      </w:r>
    </w:p>
  </w:footnote>
  <w:footnote w:id="264">
    <w:p w14:paraId="73141C21" w14:textId="09F8FD1A" w:rsidR="001A3CF6" w:rsidRPr="00464622" w:rsidRDefault="001A3CF6" w:rsidP="00086847">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The facts of the case and DRI’s recent history of advocacy on behalf of </w:t>
      </w:r>
      <w:r w:rsidRPr="009E1C12">
        <w:rPr>
          <w:rFonts w:asciiTheme="majorBidi" w:hAnsiTheme="majorBidi" w:cstheme="majorBidi"/>
          <w:i/>
        </w:rPr>
        <w:t xml:space="preserve">Casa Esperanza </w:t>
      </w:r>
      <w:r>
        <w:rPr>
          <w:rFonts w:asciiTheme="majorBidi" w:hAnsiTheme="majorBidi" w:cstheme="majorBidi"/>
        </w:rPr>
        <w:t xml:space="preserve">survivor are included in DRI No Justice (2015), </w:t>
      </w:r>
      <w:r>
        <w:rPr>
          <w:rFonts w:asciiTheme="majorBidi" w:hAnsiTheme="majorBidi" w:cstheme="majorBidi"/>
          <w:i/>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_Ref471315886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171</w:t>
      </w:r>
      <w:r>
        <w:rPr>
          <w:rFonts w:asciiTheme="majorBidi" w:hAnsiTheme="majorBidi" w:cstheme="majorBidi"/>
        </w:rPr>
        <w:fldChar w:fldCharType="end"/>
      </w:r>
      <w:r>
        <w:rPr>
          <w:rFonts w:asciiTheme="majorBidi" w:hAnsiTheme="majorBidi" w:cstheme="majorBidi"/>
        </w:rPr>
        <w:t>.</w:t>
      </w:r>
    </w:p>
  </w:footnote>
  <w:footnote w:id="265">
    <w:p w14:paraId="65881CEA" w14:textId="77777777" w:rsidR="001A3CF6" w:rsidRPr="009E1C12" w:rsidRDefault="001A3CF6" w:rsidP="00086847">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Documentation of these developments are in DRI’s brief submitted to the Inter-American Commission on Human Rights. At the time of this publication, details of the brief are not yet public. DRI’s documentation can be obtained by contacting Disability Rights International at info@DRIadvocacy.org.</w:t>
      </w:r>
    </w:p>
  </w:footnote>
  <w:footnote w:id="266">
    <w:p w14:paraId="2FD5ED98" w14:textId="77777777" w:rsidR="001A3CF6" w:rsidRPr="009E1C12" w:rsidRDefault="001A3CF6" w:rsidP="002D634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generally </w:t>
      </w:r>
      <w:r w:rsidRPr="009E1C12">
        <w:rPr>
          <w:rFonts w:asciiTheme="majorBidi" w:hAnsiTheme="majorBidi" w:cstheme="majorBidi"/>
        </w:rPr>
        <w:t xml:space="preserve">Stephen P. Marks, </w:t>
      </w:r>
      <w:r w:rsidRPr="009E1C12">
        <w:rPr>
          <w:rFonts w:asciiTheme="majorBidi" w:hAnsiTheme="majorBidi" w:cstheme="majorBidi"/>
          <w:i/>
          <w:iCs/>
        </w:rPr>
        <w:t>The Past and Future of the Separation of Human Rights into Categories</w:t>
      </w:r>
      <w:r w:rsidRPr="009E1C12">
        <w:rPr>
          <w:rFonts w:asciiTheme="majorBidi" w:hAnsiTheme="majorBidi" w:cstheme="majorBidi"/>
        </w:rPr>
        <w:t xml:space="preserve"> 24 Md. J. Int’l L. 209, 221 (2009).</w:t>
      </w:r>
    </w:p>
  </w:footnote>
  <w:footnote w:id="267">
    <w:p w14:paraId="3D08AD9F" w14:textId="469A5286" w:rsidR="001A3CF6" w:rsidRPr="009E1C12" w:rsidRDefault="001A3CF6" w:rsidP="002D634F">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World Conference on Human Arts., June 14-25, 1993, </w:t>
      </w:r>
      <w:r w:rsidRPr="009E1C12">
        <w:rPr>
          <w:rFonts w:asciiTheme="majorBidi" w:hAnsiTheme="majorBidi" w:cstheme="majorBidi"/>
          <w:i/>
        </w:rPr>
        <w:t xml:space="preserve">Vienna Declaration and Programme of Action, </w:t>
      </w:r>
      <w:r w:rsidRPr="009E1C12">
        <w:rPr>
          <w:rFonts w:asciiTheme="majorBidi" w:hAnsiTheme="majorBidi" w:cstheme="majorBidi"/>
        </w:rPr>
        <w:t>U.N.</w:t>
      </w:r>
      <w:r w:rsidRPr="008F50FE">
        <w:rPr>
          <w:rFonts w:asciiTheme="majorBidi" w:hAnsiTheme="majorBidi" w:cstheme="majorBidi"/>
        </w:rPr>
        <w:t xml:space="preserve"> </w:t>
      </w:r>
      <w:r w:rsidRPr="009E1C12">
        <w:rPr>
          <w:rFonts w:asciiTheme="majorBidi" w:hAnsiTheme="majorBidi" w:cstheme="majorBidi"/>
        </w:rPr>
        <w:t>Doc A/CONF.157/23 (July 12, 1993).</w:t>
      </w:r>
    </w:p>
  </w:footnote>
  <w:footnote w:id="268">
    <w:p w14:paraId="519C8AA0" w14:textId="0CB69ED3"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e.g. </w:t>
      </w:r>
      <w:r w:rsidRPr="009E1C12">
        <w:rPr>
          <w:rFonts w:asciiTheme="majorBidi" w:hAnsiTheme="majorBidi" w:cstheme="majorBidi"/>
        </w:rPr>
        <w:t>Rothman</w:t>
      </w:r>
      <w:r>
        <w:rPr>
          <w:rFonts w:asciiTheme="majorBidi" w:hAnsiTheme="majorBidi" w:cstheme="majorBidi"/>
        </w:rPr>
        <w:t xml:space="preserve"> &amp; Rothman, </w:t>
      </w:r>
      <w:r>
        <w:rPr>
          <w:rFonts w:asciiTheme="majorBidi" w:hAnsiTheme="majorBidi" w:cstheme="majorBidi"/>
          <w:i/>
        </w:rPr>
        <w:t xml:space="preserve">supra </w:t>
      </w:r>
      <w:r>
        <w:rPr>
          <w:rFonts w:asciiTheme="majorBidi" w:hAnsiTheme="majorBidi" w:cstheme="majorBidi"/>
        </w:rPr>
        <w:t xml:space="preserve">note </w:t>
      </w:r>
      <w:r>
        <w:rPr>
          <w:rFonts w:asciiTheme="majorBidi" w:hAnsiTheme="majorBidi" w:cstheme="majorBidi"/>
        </w:rPr>
        <w:fldChar w:fldCharType="begin"/>
      </w:r>
      <w:r>
        <w:rPr>
          <w:rFonts w:asciiTheme="majorBidi" w:hAnsiTheme="majorBidi" w:cstheme="majorBidi"/>
        </w:rPr>
        <w:instrText xml:space="preserve"> NOTEREF _Ref471398073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217</w:t>
      </w:r>
      <w:r>
        <w:rPr>
          <w:rFonts w:asciiTheme="majorBidi" w:hAnsiTheme="majorBidi" w:cstheme="majorBidi"/>
        </w:rPr>
        <w:fldChar w:fldCharType="end"/>
      </w:r>
      <w:r>
        <w:rPr>
          <w:rFonts w:asciiTheme="majorBidi" w:hAnsiTheme="majorBidi" w:cstheme="majorBidi"/>
        </w:rPr>
        <w:t xml:space="preserve"> </w:t>
      </w:r>
      <w:r w:rsidRPr="009E1C12">
        <w:rPr>
          <w:rFonts w:asciiTheme="majorBidi" w:hAnsiTheme="majorBidi" w:cstheme="majorBidi"/>
        </w:rPr>
        <w:t>(</w:t>
      </w:r>
      <w:r>
        <w:rPr>
          <w:rFonts w:asciiTheme="majorBidi" w:hAnsiTheme="majorBidi" w:cstheme="majorBidi"/>
        </w:rPr>
        <w:t xml:space="preserve">describing </w:t>
      </w:r>
      <w:r w:rsidRPr="009E1C12">
        <w:rPr>
          <w:rFonts w:asciiTheme="majorBidi" w:hAnsiTheme="majorBidi" w:cstheme="majorBidi"/>
        </w:rPr>
        <w:t>the closure of Will</w:t>
      </w:r>
      <w:r>
        <w:rPr>
          <w:rFonts w:asciiTheme="majorBidi" w:hAnsiTheme="majorBidi" w:cstheme="majorBidi"/>
        </w:rPr>
        <w:t>ow</w:t>
      </w:r>
      <w:r w:rsidRPr="009E1C12">
        <w:rPr>
          <w:rFonts w:asciiTheme="majorBidi" w:hAnsiTheme="majorBidi" w:cstheme="majorBidi"/>
        </w:rPr>
        <w:t>brook in New York</w:t>
      </w:r>
      <w:r>
        <w:rPr>
          <w:rFonts w:asciiTheme="majorBidi" w:hAnsiTheme="majorBidi" w:cstheme="majorBidi"/>
        </w:rPr>
        <w:t xml:space="preserve"> in the 1970’s</w:t>
      </w:r>
      <w:r w:rsidRPr="009E1C12">
        <w:rPr>
          <w:rFonts w:asciiTheme="majorBidi" w:hAnsiTheme="majorBidi" w:cstheme="majorBidi"/>
        </w:rPr>
        <w:t>).</w:t>
      </w:r>
    </w:p>
  </w:footnote>
  <w:footnote w:id="269">
    <w:p w14:paraId="5015272C" w14:textId="4250C4F4" w:rsidR="001A3CF6" w:rsidRPr="009E1C12" w:rsidRDefault="001A3CF6">
      <w:pPr>
        <w:pStyle w:val="FootnoteText"/>
        <w:rPr>
          <w:rFonts w:asciiTheme="majorBidi" w:hAnsiTheme="majorBidi" w:cstheme="majorBidi"/>
          <w:b/>
        </w:rPr>
      </w:pPr>
      <w:r w:rsidRPr="009E1C12">
        <w:rPr>
          <w:rStyle w:val="FootnoteReference"/>
          <w:rFonts w:asciiTheme="majorBidi" w:hAnsiTheme="majorBidi" w:cstheme="majorBidi"/>
        </w:rPr>
        <w:footnoteRef/>
      </w:r>
      <w:r w:rsidRPr="009E1C12">
        <w:rPr>
          <w:rFonts w:asciiTheme="majorBidi" w:hAnsiTheme="majorBidi" w:cstheme="majorBidi"/>
        </w:rPr>
        <w:t xml:space="preserve"> Samuel R. Bagenstos, </w:t>
      </w:r>
      <w:r w:rsidRPr="009E1C12">
        <w:rPr>
          <w:rFonts w:asciiTheme="majorBidi" w:hAnsiTheme="majorBidi" w:cstheme="majorBidi"/>
          <w:i/>
          <w:iCs/>
        </w:rPr>
        <w:t>The Past and Future of Deinstitutionalization Litigation</w:t>
      </w:r>
      <w:r w:rsidRPr="009E1C12">
        <w:rPr>
          <w:rFonts w:asciiTheme="majorBidi" w:hAnsiTheme="majorBidi" w:cstheme="majorBidi"/>
        </w:rPr>
        <w:t xml:space="preserve"> 34 Cardozo Law Review </w:t>
      </w:r>
      <w:r>
        <w:rPr>
          <w:rFonts w:asciiTheme="majorBidi" w:hAnsiTheme="majorBidi" w:cstheme="majorBidi"/>
        </w:rPr>
        <w:t>50 (2012).</w:t>
      </w:r>
    </w:p>
  </w:footnote>
  <w:footnote w:id="270">
    <w:p w14:paraId="2C01EA90" w14:textId="4E9AB275" w:rsidR="001A3CF6" w:rsidRPr="009E1C12" w:rsidRDefault="001A3CF6" w:rsidP="00883E89">
      <w:pPr>
        <w:autoSpaceDE w:val="0"/>
        <w:autoSpaceDN w:val="0"/>
        <w:adjustRightInd w:val="0"/>
        <w:spacing w:after="0" w:line="240" w:lineRule="auto"/>
        <w:rPr>
          <w:rFonts w:asciiTheme="majorBidi"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During the last century—since the Progressive Era and the first White House Conference on Children in 1909—the federal government has vastly expanded its role in promoting the welfare of America’s children and youth. While families remain the bulwark for successful child development, and states, localities, and a host of private entities provide services to infants, children, youth, and their families, the federal government has long supported and provided services ranging from health care to education and enforces a wide range of laws and regulations to protect and enhance the well-being and rights of Americans under age 21.  First Focus, “History of US Children’s Policy 1900-Present,” posted at </w:t>
      </w:r>
      <w:hyperlink r:id="rId24" w:history="1">
        <w:r w:rsidRPr="009E1C12">
          <w:rPr>
            <w:rStyle w:val="Hyperlink"/>
            <w:rFonts w:asciiTheme="majorBidi" w:hAnsiTheme="majorBidi" w:cstheme="majorBidi"/>
            <w:sz w:val="20"/>
            <w:szCs w:val="20"/>
          </w:rPr>
          <w:t>https://firstfocus.org/wp-content/uploads/2014/06/Childrens-Policy-History.pdf</w:t>
        </w:r>
      </w:hyperlink>
      <w:r w:rsidRPr="009E1C12">
        <w:rPr>
          <w:rFonts w:asciiTheme="majorBidi" w:hAnsiTheme="majorBidi" w:cstheme="majorBidi"/>
          <w:sz w:val="20"/>
          <w:szCs w:val="20"/>
        </w:rPr>
        <w:t xml:space="preserve"> </w:t>
      </w:r>
    </w:p>
  </w:footnote>
  <w:footnote w:id="271">
    <w:p w14:paraId="1207F504" w14:textId="7B77E397"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See</w:t>
      </w:r>
      <w:r w:rsidRPr="009E1C12">
        <w:rPr>
          <w:rFonts w:asciiTheme="majorBidi" w:hAnsiTheme="majorBidi" w:cstheme="majorBidi"/>
        </w:rPr>
        <w:t xml:space="preserve"> discussion </w:t>
      </w:r>
      <w:r w:rsidRPr="00DF480F">
        <w:rPr>
          <w:rFonts w:asciiTheme="majorBidi" w:hAnsiTheme="majorBidi" w:cstheme="majorBidi"/>
          <w:i/>
        </w:rPr>
        <w:t>supra</w:t>
      </w:r>
      <w:r w:rsidRPr="00DF480F">
        <w:rPr>
          <w:rFonts w:asciiTheme="majorBidi" w:hAnsiTheme="majorBidi" w:cstheme="majorBidi"/>
        </w:rPr>
        <w:t xml:space="preserve"> note </w:t>
      </w:r>
      <w:r w:rsidRPr="00DF480F">
        <w:rPr>
          <w:rFonts w:asciiTheme="majorBidi" w:hAnsiTheme="majorBidi" w:cstheme="majorBidi"/>
        </w:rPr>
        <w:fldChar w:fldCharType="begin"/>
      </w:r>
      <w:r w:rsidRPr="00DF480F">
        <w:rPr>
          <w:rFonts w:asciiTheme="majorBidi" w:hAnsiTheme="majorBidi" w:cstheme="majorBidi"/>
        </w:rPr>
        <w:instrText xml:space="preserve"> NOTEREF _Ref466639324 \h  \* MERGEFORMAT </w:instrText>
      </w:r>
      <w:r w:rsidRPr="00DF480F">
        <w:rPr>
          <w:rFonts w:asciiTheme="majorBidi" w:hAnsiTheme="majorBidi" w:cstheme="majorBidi"/>
        </w:rPr>
      </w:r>
      <w:r w:rsidRPr="00DF480F">
        <w:rPr>
          <w:rFonts w:asciiTheme="majorBidi" w:hAnsiTheme="majorBidi" w:cstheme="majorBidi"/>
        </w:rPr>
        <w:fldChar w:fldCharType="separate"/>
      </w:r>
      <w:r>
        <w:rPr>
          <w:rFonts w:asciiTheme="majorBidi" w:hAnsiTheme="majorBidi" w:cstheme="majorBidi"/>
        </w:rPr>
        <w:t>260</w:t>
      </w:r>
      <w:r w:rsidRPr="00DF480F">
        <w:rPr>
          <w:rFonts w:asciiTheme="majorBidi" w:hAnsiTheme="majorBidi" w:cstheme="majorBidi"/>
        </w:rPr>
        <w:fldChar w:fldCharType="end"/>
      </w:r>
      <w:r w:rsidRPr="00DF480F">
        <w:rPr>
          <w:rFonts w:asciiTheme="majorBidi" w:hAnsiTheme="majorBidi" w:cstheme="majorBidi"/>
        </w:rPr>
        <w:t>.</w:t>
      </w:r>
    </w:p>
  </w:footnote>
  <w:footnote w:id="272">
    <w:p w14:paraId="463DB6BF" w14:textId="574E60A1" w:rsidR="001A3CF6" w:rsidRPr="009E1C12" w:rsidRDefault="001A3CF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w:t>
      </w:r>
      <w:r w:rsidRPr="009E1C12">
        <w:rPr>
          <w:rFonts w:asciiTheme="majorBidi" w:hAnsiTheme="majorBidi" w:cstheme="majorBidi"/>
          <w:i/>
        </w:rPr>
        <w:t xml:space="preserve">See, e.g. </w:t>
      </w:r>
      <w:r w:rsidRPr="009E1C12">
        <w:rPr>
          <w:rFonts w:asciiTheme="majorBidi" w:hAnsiTheme="majorBidi" w:cstheme="majorBidi"/>
        </w:rPr>
        <w:t>Settlement Agreement, United States v. State of Georgia, Civil Action No. 1:10-CV-249-CAP, United States District Court for the Northern District of Georgia, Atlanta Division;  Settlement Agreement, United States v. Delaware, Civil Action 11-591-LPS, United States District Court for the District of Delaware, July 15, 2011.</w:t>
      </w:r>
    </w:p>
  </w:footnote>
  <w:footnote w:id="273">
    <w:p w14:paraId="73890550" w14:textId="037513BE" w:rsidR="001A3CF6" w:rsidRPr="009E1C12" w:rsidRDefault="001A3CF6" w:rsidP="005C694D">
      <w:pPr>
        <w:jc w:val="both"/>
        <w:rPr>
          <w:rFonts w:asciiTheme="majorBidi" w:hAnsiTheme="majorBidi" w:cstheme="majorBidi"/>
          <w:sz w:val="20"/>
          <w:szCs w:val="20"/>
        </w:rPr>
      </w:pPr>
      <w:r w:rsidRPr="009E1C12">
        <w:rPr>
          <w:rStyle w:val="FootnoteReference"/>
          <w:rFonts w:asciiTheme="majorBidi" w:hAnsiTheme="majorBidi" w:cstheme="majorBidi"/>
          <w:sz w:val="20"/>
          <w:szCs w:val="20"/>
        </w:rPr>
        <w:footnoteRef/>
      </w:r>
      <w:r w:rsidRPr="009E1C12">
        <w:rPr>
          <w:rFonts w:asciiTheme="majorBidi" w:hAnsiTheme="majorBidi" w:cstheme="majorBidi"/>
          <w:sz w:val="20"/>
          <w:szCs w:val="20"/>
        </w:rPr>
        <w:t xml:space="preserve"> Louis Henkin, </w:t>
      </w:r>
      <w:r w:rsidRPr="009E1C12">
        <w:rPr>
          <w:rFonts w:asciiTheme="majorBidi" w:hAnsiTheme="majorBidi" w:cstheme="majorBidi"/>
          <w:smallCaps/>
          <w:sz w:val="20"/>
          <w:szCs w:val="20"/>
        </w:rPr>
        <w:t xml:space="preserve">How Nations Behave: Law and Foreign Policy </w:t>
      </w:r>
      <w:r w:rsidRPr="009E1C12">
        <w:rPr>
          <w:rFonts w:asciiTheme="majorBidi" w:hAnsiTheme="majorBidi" w:cstheme="majorBidi"/>
          <w:sz w:val="20"/>
          <w:szCs w:val="20"/>
        </w:rPr>
        <w:t>88 (Columbia University Press, 1968).</w:t>
      </w:r>
    </w:p>
  </w:footnote>
  <w:footnote w:id="274">
    <w:p w14:paraId="470B9B1D" w14:textId="3D830A5C" w:rsidR="001A3CF6" w:rsidRPr="009E1C12" w:rsidRDefault="001A3CF6" w:rsidP="00F31046">
      <w:pPr>
        <w:pStyle w:val="FootnoteText"/>
        <w:rPr>
          <w:rFonts w:asciiTheme="majorBidi" w:hAnsiTheme="majorBidi" w:cstheme="majorBidi"/>
        </w:rPr>
      </w:pPr>
      <w:r w:rsidRPr="009E1C12">
        <w:rPr>
          <w:rStyle w:val="FootnoteReference"/>
          <w:rFonts w:asciiTheme="majorBidi" w:hAnsiTheme="majorBidi" w:cstheme="majorBidi"/>
        </w:rPr>
        <w:footnoteRef/>
      </w:r>
      <w:r w:rsidRPr="009E1C12">
        <w:rPr>
          <w:rFonts w:asciiTheme="majorBidi" w:hAnsiTheme="majorBidi" w:cstheme="majorBidi"/>
        </w:rPr>
        <w:t xml:space="preserve"> Juan Méndez, “Statement by Mr. Juan E. Méndez, Special Rapporteur on Torture and other Cruel, Inhuman or Degrading Treatment or Punishment,” Human Rights Council, 16</w:t>
      </w:r>
      <w:r w:rsidRPr="009E1C12">
        <w:rPr>
          <w:rFonts w:asciiTheme="majorBidi" w:hAnsiTheme="majorBidi" w:cstheme="majorBidi"/>
          <w:vertAlign w:val="superscript"/>
        </w:rPr>
        <w:t>th</w:t>
      </w:r>
      <w:r w:rsidRPr="009E1C12">
        <w:rPr>
          <w:rFonts w:asciiTheme="majorBidi" w:hAnsiTheme="majorBidi" w:cstheme="majorBidi"/>
        </w:rPr>
        <w:t xml:space="preserve"> session, March 7, 2010</w:t>
      </w:r>
      <w:r w:rsidRPr="008F50FE">
        <w:rPr>
          <w:rFonts w:asciiTheme="majorBidi" w:hAnsiTheme="majorBidi" w:cstheme="majorBidi"/>
        </w:rPr>
        <w:t>, http://www.ohchr.org/Documents/Issues/SRTorture/StatementHRC16SRTORTURE_March2011.pdf</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8AE82" w14:textId="5F67CAE4" w:rsidR="001A3CF6" w:rsidRPr="00E51F37" w:rsidRDefault="001A3CF6" w:rsidP="005342F6">
    <w:pPr>
      <w:pStyle w:val="Header"/>
      <w:jc w:val="center"/>
      <w:rPr>
        <w:b/>
        <w:u w:val="single"/>
      </w:rPr>
    </w:pPr>
    <w:r w:rsidRPr="005342F6">
      <w:rPr>
        <w:rFonts w:ascii="Times New Roman" w:hAnsi="Times New Roman" w:cs="Times New Roman"/>
        <w:bCs/>
        <w:color w:val="222222"/>
        <w:u w:val="single"/>
        <w:shd w:val="clear" w:color="auto" w:fill="FFFFFF"/>
      </w:rPr>
      <w:t>Protecting Child</w:t>
    </w:r>
    <w:r w:rsidR="0022547A">
      <w:rPr>
        <w:rFonts w:ascii="Times New Roman" w:hAnsi="Times New Roman" w:cs="Times New Roman"/>
        <w:bCs/>
        <w:color w:val="222222"/>
        <w:u w:val="single"/>
        <w:shd w:val="clear" w:color="auto" w:fill="FFFFFF"/>
      </w:rPr>
      <w:t>ren Deprived of Liberty from Torture</w:t>
    </w:r>
    <w:r w:rsidRPr="005342F6">
      <w:rPr>
        <w:rFonts w:ascii="Times New Roman" w:hAnsi="Times New Roman" w:cs="Times New Roman"/>
        <w:b/>
        <w:u w:val="single"/>
      </w:rPr>
      <w:t xml:space="preserve"> </w:t>
    </w:r>
    <w:r w:rsidRPr="005342F6">
      <w:rPr>
        <w:rFonts w:ascii="Times New Roman" w:hAnsi="Times New Roman" w:cs="Times New Roman"/>
        <w:u w:val="single"/>
      </w:rPr>
      <w:t>(in press)</w:t>
    </w:r>
    <w:r w:rsidRPr="005342F6">
      <w:rPr>
        <w:rFonts w:ascii="Times New Roman" w:hAnsi="Times New Roman" w:cs="Times New Roman"/>
        <w:u w:val="single"/>
      </w:rPr>
      <w:ptab w:relativeTo="margin" w:alignment="right" w:leader="none"/>
    </w:r>
    <w:r w:rsidRPr="005342F6">
      <w:rPr>
        <w:rFonts w:ascii="Times New Roman" w:hAnsi="Times New Roman" w:cs="Times New Roman"/>
        <w:u w:val="single"/>
      </w:rPr>
      <w:t>Eric Rosenthal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4355"/>
    <w:multiLevelType w:val="hybridMultilevel"/>
    <w:tmpl w:val="C7F8EAAC"/>
    <w:lvl w:ilvl="0" w:tplc="4C4C8E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00DCF"/>
    <w:multiLevelType w:val="hybridMultilevel"/>
    <w:tmpl w:val="D1CE60F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1204F"/>
    <w:multiLevelType w:val="hybridMultilevel"/>
    <w:tmpl w:val="B03EB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220D3"/>
    <w:multiLevelType w:val="hybridMultilevel"/>
    <w:tmpl w:val="19F2A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893103"/>
    <w:multiLevelType w:val="hybridMultilevel"/>
    <w:tmpl w:val="C64CD76E"/>
    <w:lvl w:ilvl="0" w:tplc="3C9EE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3443D0"/>
    <w:multiLevelType w:val="hybridMultilevel"/>
    <w:tmpl w:val="8C261D3A"/>
    <w:lvl w:ilvl="0" w:tplc="7F6CD20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73465"/>
    <w:multiLevelType w:val="hybridMultilevel"/>
    <w:tmpl w:val="8C52D2A0"/>
    <w:lvl w:ilvl="0" w:tplc="14928472">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C05220E"/>
    <w:multiLevelType w:val="hybridMultilevel"/>
    <w:tmpl w:val="56B4BF6E"/>
    <w:lvl w:ilvl="0" w:tplc="FDB8457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F260E"/>
    <w:multiLevelType w:val="hybridMultilevel"/>
    <w:tmpl w:val="CE088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246E9D"/>
    <w:multiLevelType w:val="hybridMultilevel"/>
    <w:tmpl w:val="D88AC8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4353AA4"/>
    <w:multiLevelType w:val="hybridMultilevel"/>
    <w:tmpl w:val="34529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A6DAD"/>
    <w:multiLevelType w:val="hybridMultilevel"/>
    <w:tmpl w:val="0082E9EE"/>
    <w:lvl w:ilvl="0" w:tplc="426C7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572AED"/>
    <w:multiLevelType w:val="hybridMultilevel"/>
    <w:tmpl w:val="28361A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A166DC"/>
    <w:multiLevelType w:val="hybridMultilevel"/>
    <w:tmpl w:val="28BE7F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01A01"/>
    <w:multiLevelType w:val="hybridMultilevel"/>
    <w:tmpl w:val="B7D0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C43A64"/>
    <w:multiLevelType w:val="hybridMultilevel"/>
    <w:tmpl w:val="9A1CC45A"/>
    <w:lvl w:ilvl="0" w:tplc="FC04B5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C166D"/>
    <w:multiLevelType w:val="hybridMultilevel"/>
    <w:tmpl w:val="80162B0E"/>
    <w:lvl w:ilvl="0" w:tplc="011E2BF4">
      <w:start w:val="1"/>
      <w:numFmt w:val="decimal"/>
      <w:lvlText w:val="%1."/>
      <w:lvlJc w:val="left"/>
      <w:pPr>
        <w:ind w:left="1495" w:hanging="360"/>
      </w:pPr>
      <w:rPr>
        <w:rFonts w:ascii="Times New Roman" w:hAnsi="Times New Roman" w:cs="Times New Roman" w:hint="default"/>
        <w:b w:val="0"/>
        <w:sz w:val="20"/>
        <w:szCs w:val="20"/>
      </w:rPr>
    </w:lvl>
    <w:lvl w:ilvl="1" w:tplc="08090019">
      <w:start w:val="1"/>
      <w:numFmt w:val="lowerLetter"/>
      <w:lvlText w:val="%2."/>
      <w:lvlJc w:val="left"/>
      <w:pPr>
        <w:ind w:left="2720" w:hanging="360"/>
      </w:pPr>
    </w:lvl>
    <w:lvl w:ilvl="2" w:tplc="0809001B" w:tentative="1">
      <w:start w:val="1"/>
      <w:numFmt w:val="lowerRoman"/>
      <w:lvlText w:val="%3."/>
      <w:lvlJc w:val="right"/>
      <w:pPr>
        <w:ind w:left="3440" w:hanging="180"/>
      </w:pPr>
    </w:lvl>
    <w:lvl w:ilvl="3" w:tplc="0809000F" w:tentative="1">
      <w:start w:val="1"/>
      <w:numFmt w:val="decimal"/>
      <w:lvlText w:val="%4."/>
      <w:lvlJc w:val="left"/>
      <w:pPr>
        <w:ind w:left="4160" w:hanging="360"/>
      </w:pPr>
    </w:lvl>
    <w:lvl w:ilvl="4" w:tplc="08090019" w:tentative="1">
      <w:start w:val="1"/>
      <w:numFmt w:val="lowerLetter"/>
      <w:lvlText w:val="%5."/>
      <w:lvlJc w:val="left"/>
      <w:pPr>
        <w:ind w:left="4880" w:hanging="360"/>
      </w:pPr>
    </w:lvl>
    <w:lvl w:ilvl="5" w:tplc="0809001B" w:tentative="1">
      <w:start w:val="1"/>
      <w:numFmt w:val="lowerRoman"/>
      <w:lvlText w:val="%6."/>
      <w:lvlJc w:val="right"/>
      <w:pPr>
        <w:ind w:left="5600" w:hanging="180"/>
      </w:pPr>
    </w:lvl>
    <w:lvl w:ilvl="6" w:tplc="0809000F" w:tentative="1">
      <w:start w:val="1"/>
      <w:numFmt w:val="decimal"/>
      <w:lvlText w:val="%7."/>
      <w:lvlJc w:val="left"/>
      <w:pPr>
        <w:ind w:left="6320" w:hanging="360"/>
      </w:pPr>
    </w:lvl>
    <w:lvl w:ilvl="7" w:tplc="08090019" w:tentative="1">
      <w:start w:val="1"/>
      <w:numFmt w:val="lowerLetter"/>
      <w:lvlText w:val="%8."/>
      <w:lvlJc w:val="left"/>
      <w:pPr>
        <w:ind w:left="7040" w:hanging="360"/>
      </w:pPr>
    </w:lvl>
    <w:lvl w:ilvl="8" w:tplc="0809001B" w:tentative="1">
      <w:start w:val="1"/>
      <w:numFmt w:val="lowerRoman"/>
      <w:lvlText w:val="%9."/>
      <w:lvlJc w:val="right"/>
      <w:pPr>
        <w:ind w:left="7760" w:hanging="180"/>
      </w:pPr>
    </w:lvl>
  </w:abstractNum>
  <w:abstractNum w:abstractNumId="17">
    <w:nsid w:val="3542745E"/>
    <w:multiLevelType w:val="hybridMultilevel"/>
    <w:tmpl w:val="A2226F5A"/>
    <w:lvl w:ilvl="0" w:tplc="2C2020DA">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B5177C"/>
    <w:multiLevelType w:val="hybridMultilevel"/>
    <w:tmpl w:val="7CB6BA94"/>
    <w:lvl w:ilvl="0" w:tplc="639260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2C6583"/>
    <w:multiLevelType w:val="hybridMultilevel"/>
    <w:tmpl w:val="BA68A8EA"/>
    <w:lvl w:ilvl="0" w:tplc="CD56FE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F14565"/>
    <w:multiLevelType w:val="hybridMultilevel"/>
    <w:tmpl w:val="C89EE0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885530"/>
    <w:multiLevelType w:val="hybridMultilevel"/>
    <w:tmpl w:val="71D2E4D4"/>
    <w:lvl w:ilvl="0" w:tplc="B03ED24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837B59"/>
    <w:multiLevelType w:val="hybridMultilevel"/>
    <w:tmpl w:val="A2E6F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46C0326"/>
    <w:multiLevelType w:val="hybridMultilevel"/>
    <w:tmpl w:val="6B0C494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622A59"/>
    <w:multiLevelType w:val="hybridMultilevel"/>
    <w:tmpl w:val="AB346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13AA1"/>
    <w:multiLevelType w:val="hybridMultilevel"/>
    <w:tmpl w:val="026662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B7156D"/>
    <w:multiLevelType w:val="hybridMultilevel"/>
    <w:tmpl w:val="6DF0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1F4C12"/>
    <w:multiLevelType w:val="hybridMultilevel"/>
    <w:tmpl w:val="1ABA9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92A319D"/>
    <w:multiLevelType w:val="hybridMultilevel"/>
    <w:tmpl w:val="3A3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425671"/>
    <w:multiLevelType w:val="hybridMultilevel"/>
    <w:tmpl w:val="11FC469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E57B0F"/>
    <w:multiLevelType w:val="hybridMultilevel"/>
    <w:tmpl w:val="99ACE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E01849"/>
    <w:multiLevelType w:val="hybridMultilevel"/>
    <w:tmpl w:val="C44411B4"/>
    <w:lvl w:ilvl="0" w:tplc="7AEE98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DF1655"/>
    <w:multiLevelType w:val="hybridMultilevel"/>
    <w:tmpl w:val="8424CDEC"/>
    <w:lvl w:ilvl="0" w:tplc="97922F42">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1702DC"/>
    <w:multiLevelType w:val="hybridMultilevel"/>
    <w:tmpl w:val="8826A32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4955EA"/>
    <w:multiLevelType w:val="hybridMultilevel"/>
    <w:tmpl w:val="0662570A"/>
    <w:lvl w:ilvl="0" w:tplc="4484DC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24"/>
  </w:num>
  <w:num w:numId="4">
    <w:abstractNumId w:val="31"/>
  </w:num>
  <w:num w:numId="5">
    <w:abstractNumId w:val="17"/>
  </w:num>
  <w:num w:numId="6">
    <w:abstractNumId w:val="26"/>
  </w:num>
  <w:num w:numId="7">
    <w:abstractNumId w:val="27"/>
  </w:num>
  <w:num w:numId="8">
    <w:abstractNumId w:val="18"/>
  </w:num>
  <w:num w:numId="9">
    <w:abstractNumId w:val="32"/>
  </w:num>
  <w:num w:numId="10">
    <w:abstractNumId w:val="6"/>
  </w:num>
  <w:num w:numId="11">
    <w:abstractNumId w:val="25"/>
  </w:num>
  <w:num w:numId="12">
    <w:abstractNumId w:val="21"/>
  </w:num>
  <w:num w:numId="13">
    <w:abstractNumId w:val="30"/>
  </w:num>
  <w:num w:numId="14">
    <w:abstractNumId w:val="14"/>
  </w:num>
  <w:num w:numId="15">
    <w:abstractNumId w:val="23"/>
  </w:num>
  <w:num w:numId="16">
    <w:abstractNumId w:val="3"/>
  </w:num>
  <w:num w:numId="17">
    <w:abstractNumId w:val="33"/>
  </w:num>
  <w:num w:numId="18">
    <w:abstractNumId w:val="29"/>
  </w:num>
  <w:num w:numId="19">
    <w:abstractNumId w:val="11"/>
  </w:num>
  <w:num w:numId="20">
    <w:abstractNumId w:val="5"/>
  </w:num>
  <w:num w:numId="21">
    <w:abstractNumId w:val="2"/>
  </w:num>
  <w:num w:numId="22">
    <w:abstractNumId w:val="1"/>
  </w:num>
  <w:num w:numId="23">
    <w:abstractNumId w:val="12"/>
  </w:num>
  <w:num w:numId="24">
    <w:abstractNumId w:val="4"/>
  </w:num>
  <w:num w:numId="25">
    <w:abstractNumId w:val="34"/>
  </w:num>
  <w:num w:numId="26">
    <w:abstractNumId w:val="13"/>
  </w:num>
  <w:num w:numId="27">
    <w:abstractNumId w:val="22"/>
  </w:num>
  <w:num w:numId="28">
    <w:abstractNumId w:val="20"/>
  </w:num>
  <w:num w:numId="29">
    <w:abstractNumId w:val="7"/>
  </w:num>
  <w:num w:numId="30">
    <w:abstractNumId w:val="28"/>
  </w:num>
  <w:num w:numId="31">
    <w:abstractNumId w:val="16"/>
  </w:num>
  <w:num w:numId="32">
    <w:abstractNumId w:val="19"/>
  </w:num>
  <w:num w:numId="33">
    <w:abstractNumId w:val="8"/>
  </w:num>
  <w:num w:numId="34">
    <w:abstractNumId w:val="1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A3"/>
    <w:rsid w:val="00000337"/>
    <w:rsid w:val="00001FD9"/>
    <w:rsid w:val="00005669"/>
    <w:rsid w:val="00006159"/>
    <w:rsid w:val="00006F18"/>
    <w:rsid w:val="00010AEA"/>
    <w:rsid w:val="00010F00"/>
    <w:rsid w:val="00012471"/>
    <w:rsid w:val="00012DFD"/>
    <w:rsid w:val="00013042"/>
    <w:rsid w:val="00014D05"/>
    <w:rsid w:val="000155D8"/>
    <w:rsid w:val="00016C27"/>
    <w:rsid w:val="00016C7A"/>
    <w:rsid w:val="00016E6A"/>
    <w:rsid w:val="0001700E"/>
    <w:rsid w:val="00017971"/>
    <w:rsid w:val="000218E3"/>
    <w:rsid w:val="00022530"/>
    <w:rsid w:val="0002284F"/>
    <w:rsid w:val="0002302A"/>
    <w:rsid w:val="00023840"/>
    <w:rsid w:val="00024F68"/>
    <w:rsid w:val="00025596"/>
    <w:rsid w:val="000263E2"/>
    <w:rsid w:val="0003059D"/>
    <w:rsid w:val="00031E13"/>
    <w:rsid w:val="000325DA"/>
    <w:rsid w:val="000326D9"/>
    <w:rsid w:val="0003447D"/>
    <w:rsid w:val="00035132"/>
    <w:rsid w:val="00036D6B"/>
    <w:rsid w:val="000378CB"/>
    <w:rsid w:val="000467E6"/>
    <w:rsid w:val="0004774C"/>
    <w:rsid w:val="00047D48"/>
    <w:rsid w:val="000500E3"/>
    <w:rsid w:val="00050F1F"/>
    <w:rsid w:val="00052207"/>
    <w:rsid w:val="00052620"/>
    <w:rsid w:val="00054BDD"/>
    <w:rsid w:val="0006024D"/>
    <w:rsid w:val="000607C1"/>
    <w:rsid w:val="00061395"/>
    <w:rsid w:val="00062057"/>
    <w:rsid w:val="000623C0"/>
    <w:rsid w:val="00062B2F"/>
    <w:rsid w:val="00062CAB"/>
    <w:rsid w:val="00062E1C"/>
    <w:rsid w:val="00063276"/>
    <w:rsid w:val="000641FF"/>
    <w:rsid w:val="000642F8"/>
    <w:rsid w:val="00064A45"/>
    <w:rsid w:val="00065EA5"/>
    <w:rsid w:val="00066F3B"/>
    <w:rsid w:val="000671F7"/>
    <w:rsid w:val="00070B75"/>
    <w:rsid w:val="00072008"/>
    <w:rsid w:val="0007284A"/>
    <w:rsid w:val="00072C41"/>
    <w:rsid w:val="0007308D"/>
    <w:rsid w:val="0007626A"/>
    <w:rsid w:val="0007672C"/>
    <w:rsid w:val="00082C0A"/>
    <w:rsid w:val="00083152"/>
    <w:rsid w:val="00083608"/>
    <w:rsid w:val="0008467D"/>
    <w:rsid w:val="00084FE8"/>
    <w:rsid w:val="00085873"/>
    <w:rsid w:val="00085DC2"/>
    <w:rsid w:val="00086034"/>
    <w:rsid w:val="000862C7"/>
    <w:rsid w:val="000864B0"/>
    <w:rsid w:val="00086847"/>
    <w:rsid w:val="000902A0"/>
    <w:rsid w:val="00093021"/>
    <w:rsid w:val="000941AE"/>
    <w:rsid w:val="00094F88"/>
    <w:rsid w:val="00096120"/>
    <w:rsid w:val="00097491"/>
    <w:rsid w:val="000A0084"/>
    <w:rsid w:val="000A1C04"/>
    <w:rsid w:val="000A3ACE"/>
    <w:rsid w:val="000A4CCA"/>
    <w:rsid w:val="000A55F7"/>
    <w:rsid w:val="000A5AF7"/>
    <w:rsid w:val="000A6F0D"/>
    <w:rsid w:val="000A709F"/>
    <w:rsid w:val="000B047C"/>
    <w:rsid w:val="000B2936"/>
    <w:rsid w:val="000B3402"/>
    <w:rsid w:val="000B4EC3"/>
    <w:rsid w:val="000B54E4"/>
    <w:rsid w:val="000B5DFF"/>
    <w:rsid w:val="000B5E18"/>
    <w:rsid w:val="000B7A24"/>
    <w:rsid w:val="000B7E92"/>
    <w:rsid w:val="000C04AF"/>
    <w:rsid w:val="000C0518"/>
    <w:rsid w:val="000C08E4"/>
    <w:rsid w:val="000C2285"/>
    <w:rsid w:val="000C3109"/>
    <w:rsid w:val="000C4213"/>
    <w:rsid w:val="000C4499"/>
    <w:rsid w:val="000C5395"/>
    <w:rsid w:val="000C58C1"/>
    <w:rsid w:val="000C5977"/>
    <w:rsid w:val="000C5B75"/>
    <w:rsid w:val="000C691A"/>
    <w:rsid w:val="000C74A3"/>
    <w:rsid w:val="000C76A3"/>
    <w:rsid w:val="000D0D32"/>
    <w:rsid w:val="000D16AF"/>
    <w:rsid w:val="000D2681"/>
    <w:rsid w:val="000D4274"/>
    <w:rsid w:val="000D5481"/>
    <w:rsid w:val="000D5DB5"/>
    <w:rsid w:val="000D7EBF"/>
    <w:rsid w:val="000E00E7"/>
    <w:rsid w:val="000E316C"/>
    <w:rsid w:val="000E31B4"/>
    <w:rsid w:val="000E51CB"/>
    <w:rsid w:val="000E5807"/>
    <w:rsid w:val="000E6EB0"/>
    <w:rsid w:val="000F0AC2"/>
    <w:rsid w:val="000F0B96"/>
    <w:rsid w:val="000F2E3B"/>
    <w:rsid w:val="000F3ABD"/>
    <w:rsid w:val="00100B2B"/>
    <w:rsid w:val="001022B7"/>
    <w:rsid w:val="001029F7"/>
    <w:rsid w:val="00103159"/>
    <w:rsid w:val="001042FC"/>
    <w:rsid w:val="001055A2"/>
    <w:rsid w:val="001059A2"/>
    <w:rsid w:val="00105AA9"/>
    <w:rsid w:val="00106F95"/>
    <w:rsid w:val="0010758C"/>
    <w:rsid w:val="00107841"/>
    <w:rsid w:val="00107DD3"/>
    <w:rsid w:val="00110DC0"/>
    <w:rsid w:val="00110F76"/>
    <w:rsid w:val="00111D9A"/>
    <w:rsid w:val="0011288E"/>
    <w:rsid w:val="00115E9A"/>
    <w:rsid w:val="0011718D"/>
    <w:rsid w:val="001204DA"/>
    <w:rsid w:val="00120778"/>
    <w:rsid w:val="001223EA"/>
    <w:rsid w:val="001225FE"/>
    <w:rsid w:val="001239D9"/>
    <w:rsid w:val="001250C2"/>
    <w:rsid w:val="0012559D"/>
    <w:rsid w:val="00125886"/>
    <w:rsid w:val="00126848"/>
    <w:rsid w:val="00127A6E"/>
    <w:rsid w:val="00130428"/>
    <w:rsid w:val="0013059E"/>
    <w:rsid w:val="00132BB6"/>
    <w:rsid w:val="00132C9D"/>
    <w:rsid w:val="00133AA0"/>
    <w:rsid w:val="00133B3D"/>
    <w:rsid w:val="00133C1E"/>
    <w:rsid w:val="00134265"/>
    <w:rsid w:val="00135FE8"/>
    <w:rsid w:val="001376CA"/>
    <w:rsid w:val="0013780C"/>
    <w:rsid w:val="00137AB7"/>
    <w:rsid w:val="0014029C"/>
    <w:rsid w:val="0014222E"/>
    <w:rsid w:val="00143C02"/>
    <w:rsid w:val="00143F5A"/>
    <w:rsid w:val="00144BC4"/>
    <w:rsid w:val="00145E33"/>
    <w:rsid w:val="001501C8"/>
    <w:rsid w:val="001502C1"/>
    <w:rsid w:val="0015219A"/>
    <w:rsid w:val="00152A6C"/>
    <w:rsid w:val="001534FA"/>
    <w:rsid w:val="001569EF"/>
    <w:rsid w:val="00156E52"/>
    <w:rsid w:val="00161114"/>
    <w:rsid w:val="00161538"/>
    <w:rsid w:val="0016229F"/>
    <w:rsid w:val="00162426"/>
    <w:rsid w:val="0016295F"/>
    <w:rsid w:val="00163DA9"/>
    <w:rsid w:val="00164295"/>
    <w:rsid w:val="00165416"/>
    <w:rsid w:val="00165F1D"/>
    <w:rsid w:val="0016649F"/>
    <w:rsid w:val="00166ECC"/>
    <w:rsid w:val="00167F0E"/>
    <w:rsid w:val="00171E30"/>
    <w:rsid w:val="001739B7"/>
    <w:rsid w:val="001742FF"/>
    <w:rsid w:val="0017566A"/>
    <w:rsid w:val="00176D71"/>
    <w:rsid w:val="00181CC2"/>
    <w:rsid w:val="00181E4D"/>
    <w:rsid w:val="00182DA2"/>
    <w:rsid w:val="0018384C"/>
    <w:rsid w:val="001838D4"/>
    <w:rsid w:val="0018646F"/>
    <w:rsid w:val="00186D5B"/>
    <w:rsid w:val="001872B3"/>
    <w:rsid w:val="001875BB"/>
    <w:rsid w:val="00187D50"/>
    <w:rsid w:val="00187E63"/>
    <w:rsid w:val="00187FA7"/>
    <w:rsid w:val="00190329"/>
    <w:rsid w:val="00190872"/>
    <w:rsid w:val="001912AE"/>
    <w:rsid w:val="00191637"/>
    <w:rsid w:val="00192CBF"/>
    <w:rsid w:val="00193FE9"/>
    <w:rsid w:val="00194C17"/>
    <w:rsid w:val="00194D37"/>
    <w:rsid w:val="00194E22"/>
    <w:rsid w:val="00195300"/>
    <w:rsid w:val="001954CB"/>
    <w:rsid w:val="001968AD"/>
    <w:rsid w:val="001A00AA"/>
    <w:rsid w:val="001A0E87"/>
    <w:rsid w:val="001A10F9"/>
    <w:rsid w:val="001A17A0"/>
    <w:rsid w:val="001A1ACE"/>
    <w:rsid w:val="001A1CD2"/>
    <w:rsid w:val="001A275C"/>
    <w:rsid w:val="001A3CF6"/>
    <w:rsid w:val="001A4314"/>
    <w:rsid w:val="001A49BE"/>
    <w:rsid w:val="001A5112"/>
    <w:rsid w:val="001A5560"/>
    <w:rsid w:val="001A70FF"/>
    <w:rsid w:val="001B13A9"/>
    <w:rsid w:val="001B2C76"/>
    <w:rsid w:val="001B35D6"/>
    <w:rsid w:val="001B46C1"/>
    <w:rsid w:val="001B64FF"/>
    <w:rsid w:val="001B72E7"/>
    <w:rsid w:val="001C0100"/>
    <w:rsid w:val="001C363C"/>
    <w:rsid w:val="001C388D"/>
    <w:rsid w:val="001C5362"/>
    <w:rsid w:val="001D080E"/>
    <w:rsid w:val="001D2AC8"/>
    <w:rsid w:val="001D4751"/>
    <w:rsid w:val="001D5D35"/>
    <w:rsid w:val="001D6D20"/>
    <w:rsid w:val="001E0791"/>
    <w:rsid w:val="001E0C68"/>
    <w:rsid w:val="001E51C4"/>
    <w:rsid w:val="001E72FA"/>
    <w:rsid w:val="001E747C"/>
    <w:rsid w:val="001E74F5"/>
    <w:rsid w:val="001E78D8"/>
    <w:rsid w:val="001E7987"/>
    <w:rsid w:val="001E7D4D"/>
    <w:rsid w:val="001F04C9"/>
    <w:rsid w:val="001F182D"/>
    <w:rsid w:val="001F2A06"/>
    <w:rsid w:val="001F2E36"/>
    <w:rsid w:val="001F3F61"/>
    <w:rsid w:val="001F419F"/>
    <w:rsid w:val="001F5E4F"/>
    <w:rsid w:val="001F69B4"/>
    <w:rsid w:val="001F7799"/>
    <w:rsid w:val="002010EE"/>
    <w:rsid w:val="0020158E"/>
    <w:rsid w:val="00202429"/>
    <w:rsid w:val="00202723"/>
    <w:rsid w:val="002028DB"/>
    <w:rsid w:val="00203398"/>
    <w:rsid w:val="00203F46"/>
    <w:rsid w:val="002078DD"/>
    <w:rsid w:val="00207CF5"/>
    <w:rsid w:val="002107CF"/>
    <w:rsid w:val="00210980"/>
    <w:rsid w:val="0021189C"/>
    <w:rsid w:val="00211C8F"/>
    <w:rsid w:val="00213912"/>
    <w:rsid w:val="00214969"/>
    <w:rsid w:val="00214D97"/>
    <w:rsid w:val="002151CC"/>
    <w:rsid w:val="0021534B"/>
    <w:rsid w:val="002161F7"/>
    <w:rsid w:val="00217943"/>
    <w:rsid w:val="00217D44"/>
    <w:rsid w:val="00217F18"/>
    <w:rsid w:val="00220CEB"/>
    <w:rsid w:val="002211CE"/>
    <w:rsid w:val="00221218"/>
    <w:rsid w:val="00225122"/>
    <w:rsid w:val="0022518C"/>
    <w:rsid w:val="0022547A"/>
    <w:rsid w:val="00225AC5"/>
    <w:rsid w:val="002268B7"/>
    <w:rsid w:val="00230BB3"/>
    <w:rsid w:val="00231016"/>
    <w:rsid w:val="00231893"/>
    <w:rsid w:val="00232053"/>
    <w:rsid w:val="002329B8"/>
    <w:rsid w:val="00232FB7"/>
    <w:rsid w:val="00233865"/>
    <w:rsid w:val="00233AEB"/>
    <w:rsid w:val="00234C56"/>
    <w:rsid w:val="00234F75"/>
    <w:rsid w:val="002353AF"/>
    <w:rsid w:val="00236CA4"/>
    <w:rsid w:val="002400DA"/>
    <w:rsid w:val="00240737"/>
    <w:rsid w:val="0024092F"/>
    <w:rsid w:val="002411C8"/>
    <w:rsid w:val="00241F99"/>
    <w:rsid w:val="00242720"/>
    <w:rsid w:val="00242D34"/>
    <w:rsid w:val="00243E8F"/>
    <w:rsid w:val="00246E0D"/>
    <w:rsid w:val="00250332"/>
    <w:rsid w:val="00250815"/>
    <w:rsid w:val="00252E21"/>
    <w:rsid w:val="002541B5"/>
    <w:rsid w:val="00255904"/>
    <w:rsid w:val="002569EC"/>
    <w:rsid w:val="00261572"/>
    <w:rsid w:val="002625EE"/>
    <w:rsid w:val="00262EFD"/>
    <w:rsid w:val="00263DDA"/>
    <w:rsid w:val="00263F49"/>
    <w:rsid w:val="002654AF"/>
    <w:rsid w:val="002654EC"/>
    <w:rsid w:val="0026715D"/>
    <w:rsid w:val="002674FF"/>
    <w:rsid w:val="002710F0"/>
    <w:rsid w:val="002715F4"/>
    <w:rsid w:val="002726EF"/>
    <w:rsid w:val="002731A0"/>
    <w:rsid w:val="0027364B"/>
    <w:rsid w:val="0027476F"/>
    <w:rsid w:val="00274CF1"/>
    <w:rsid w:val="00275749"/>
    <w:rsid w:val="0027692F"/>
    <w:rsid w:val="00276AB3"/>
    <w:rsid w:val="00276D9B"/>
    <w:rsid w:val="00277D61"/>
    <w:rsid w:val="00280FA9"/>
    <w:rsid w:val="00281DE5"/>
    <w:rsid w:val="00284CE3"/>
    <w:rsid w:val="00285255"/>
    <w:rsid w:val="00286FAB"/>
    <w:rsid w:val="00291437"/>
    <w:rsid w:val="00293063"/>
    <w:rsid w:val="00293886"/>
    <w:rsid w:val="00293CE8"/>
    <w:rsid w:val="00294622"/>
    <w:rsid w:val="002946C6"/>
    <w:rsid w:val="00294C2A"/>
    <w:rsid w:val="002957F7"/>
    <w:rsid w:val="002A0575"/>
    <w:rsid w:val="002A0632"/>
    <w:rsid w:val="002A0BC5"/>
    <w:rsid w:val="002A0CC3"/>
    <w:rsid w:val="002A12EE"/>
    <w:rsid w:val="002A2585"/>
    <w:rsid w:val="002A37C5"/>
    <w:rsid w:val="002A46B9"/>
    <w:rsid w:val="002A68CC"/>
    <w:rsid w:val="002A6F34"/>
    <w:rsid w:val="002B111B"/>
    <w:rsid w:val="002B16AC"/>
    <w:rsid w:val="002B1C08"/>
    <w:rsid w:val="002B2EB5"/>
    <w:rsid w:val="002B2F7B"/>
    <w:rsid w:val="002B3F27"/>
    <w:rsid w:val="002B405E"/>
    <w:rsid w:val="002B5176"/>
    <w:rsid w:val="002B75FB"/>
    <w:rsid w:val="002B7709"/>
    <w:rsid w:val="002B7B6A"/>
    <w:rsid w:val="002C2AF6"/>
    <w:rsid w:val="002C5BED"/>
    <w:rsid w:val="002C60AB"/>
    <w:rsid w:val="002C69F5"/>
    <w:rsid w:val="002C6D7E"/>
    <w:rsid w:val="002D06C1"/>
    <w:rsid w:val="002D0AF5"/>
    <w:rsid w:val="002D0CAD"/>
    <w:rsid w:val="002D1145"/>
    <w:rsid w:val="002D1553"/>
    <w:rsid w:val="002D1927"/>
    <w:rsid w:val="002D1BA9"/>
    <w:rsid w:val="002D2274"/>
    <w:rsid w:val="002D3207"/>
    <w:rsid w:val="002D5363"/>
    <w:rsid w:val="002D634F"/>
    <w:rsid w:val="002D69D2"/>
    <w:rsid w:val="002D6B64"/>
    <w:rsid w:val="002D7722"/>
    <w:rsid w:val="002E00E4"/>
    <w:rsid w:val="002E129E"/>
    <w:rsid w:val="002E1CDA"/>
    <w:rsid w:val="002E200C"/>
    <w:rsid w:val="002E3B2F"/>
    <w:rsid w:val="002E3F86"/>
    <w:rsid w:val="002E3FE5"/>
    <w:rsid w:val="002E4BE4"/>
    <w:rsid w:val="002E57A9"/>
    <w:rsid w:val="002E6082"/>
    <w:rsid w:val="002E69A3"/>
    <w:rsid w:val="002E7735"/>
    <w:rsid w:val="002F0B76"/>
    <w:rsid w:val="002F113C"/>
    <w:rsid w:val="002F30CE"/>
    <w:rsid w:val="002F3344"/>
    <w:rsid w:val="002F3FB5"/>
    <w:rsid w:val="002F410D"/>
    <w:rsid w:val="002F4AB2"/>
    <w:rsid w:val="002F5940"/>
    <w:rsid w:val="002F6614"/>
    <w:rsid w:val="002F6738"/>
    <w:rsid w:val="002F6A12"/>
    <w:rsid w:val="00301C7C"/>
    <w:rsid w:val="00301F5F"/>
    <w:rsid w:val="003031BF"/>
    <w:rsid w:val="00303A15"/>
    <w:rsid w:val="00304BCA"/>
    <w:rsid w:val="003053C8"/>
    <w:rsid w:val="00305C2E"/>
    <w:rsid w:val="003064E2"/>
    <w:rsid w:val="00307CD2"/>
    <w:rsid w:val="003102B5"/>
    <w:rsid w:val="00312046"/>
    <w:rsid w:val="00315502"/>
    <w:rsid w:val="00315574"/>
    <w:rsid w:val="00317B52"/>
    <w:rsid w:val="00320964"/>
    <w:rsid w:val="003312A1"/>
    <w:rsid w:val="003321EB"/>
    <w:rsid w:val="00334202"/>
    <w:rsid w:val="00335AC9"/>
    <w:rsid w:val="003362EE"/>
    <w:rsid w:val="00337360"/>
    <w:rsid w:val="00340147"/>
    <w:rsid w:val="00344312"/>
    <w:rsid w:val="0034470B"/>
    <w:rsid w:val="0035049F"/>
    <w:rsid w:val="003510A1"/>
    <w:rsid w:val="003516A9"/>
    <w:rsid w:val="003528A4"/>
    <w:rsid w:val="003532E4"/>
    <w:rsid w:val="00354825"/>
    <w:rsid w:val="00354936"/>
    <w:rsid w:val="00354DB7"/>
    <w:rsid w:val="00355443"/>
    <w:rsid w:val="00355CE2"/>
    <w:rsid w:val="003567A9"/>
    <w:rsid w:val="0035709D"/>
    <w:rsid w:val="00361120"/>
    <w:rsid w:val="003620DC"/>
    <w:rsid w:val="0036246C"/>
    <w:rsid w:val="003628B3"/>
    <w:rsid w:val="003653A4"/>
    <w:rsid w:val="00365A60"/>
    <w:rsid w:val="00370281"/>
    <w:rsid w:val="00370F45"/>
    <w:rsid w:val="003717D5"/>
    <w:rsid w:val="00372270"/>
    <w:rsid w:val="0037236A"/>
    <w:rsid w:val="0037307B"/>
    <w:rsid w:val="003736EA"/>
    <w:rsid w:val="00373824"/>
    <w:rsid w:val="00373912"/>
    <w:rsid w:val="00374D92"/>
    <w:rsid w:val="00374FBA"/>
    <w:rsid w:val="003751B3"/>
    <w:rsid w:val="003754BE"/>
    <w:rsid w:val="00375B6B"/>
    <w:rsid w:val="00375CC4"/>
    <w:rsid w:val="003761DD"/>
    <w:rsid w:val="00376551"/>
    <w:rsid w:val="00376721"/>
    <w:rsid w:val="00376E8D"/>
    <w:rsid w:val="00377210"/>
    <w:rsid w:val="0037728F"/>
    <w:rsid w:val="00380693"/>
    <w:rsid w:val="0038261A"/>
    <w:rsid w:val="003847D0"/>
    <w:rsid w:val="00386AD0"/>
    <w:rsid w:val="00387CB9"/>
    <w:rsid w:val="00387D82"/>
    <w:rsid w:val="00391123"/>
    <w:rsid w:val="003912A9"/>
    <w:rsid w:val="00393DD3"/>
    <w:rsid w:val="0039492D"/>
    <w:rsid w:val="00397284"/>
    <w:rsid w:val="003A0F8F"/>
    <w:rsid w:val="003A1090"/>
    <w:rsid w:val="003A1A7D"/>
    <w:rsid w:val="003A1F36"/>
    <w:rsid w:val="003A23F0"/>
    <w:rsid w:val="003A256A"/>
    <w:rsid w:val="003A2839"/>
    <w:rsid w:val="003A2909"/>
    <w:rsid w:val="003A2BB0"/>
    <w:rsid w:val="003A5E54"/>
    <w:rsid w:val="003A6B16"/>
    <w:rsid w:val="003B0EA3"/>
    <w:rsid w:val="003B17A4"/>
    <w:rsid w:val="003B2048"/>
    <w:rsid w:val="003B24CD"/>
    <w:rsid w:val="003B2CCB"/>
    <w:rsid w:val="003B56E9"/>
    <w:rsid w:val="003B5969"/>
    <w:rsid w:val="003B5EFC"/>
    <w:rsid w:val="003B6C2A"/>
    <w:rsid w:val="003B6C97"/>
    <w:rsid w:val="003B79E6"/>
    <w:rsid w:val="003C05F8"/>
    <w:rsid w:val="003C07C7"/>
    <w:rsid w:val="003C245D"/>
    <w:rsid w:val="003C3197"/>
    <w:rsid w:val="003C42F7"/>
    <w:rsid w:val="003C72F3"/>
    <w:rsid w:val="003D00C5"/>
    <w:rsid w:val="003D6354"/>
    <w:rsid w:val="003D7232"/>
    <w:rsid w:val="003E15F9"/>
    <w:rsid w:val="003E1D43"/>
    <w:rsid w:val="003E3655"/>
    <w:rsid w:val="003E3B65"/>
    <w:rsid w:val="003E3D9F"/>
    <w:rsid w:val="003E55E1"/>
    <w:rsid w:val="003E5E42"/>
    <w:rsid w:val="003E5E9F"/>
    <w:rsid w:val="003E6001"/>
    <w:rsid w:val="003E6B12"/>
    <w:rsid w:val="003E7243"/>
    <w:rsid w:val="003F1EEC"/>
    <w:rsid w:val="003F1F76"/>
    <w:rsid w:val="003F200A"/>
    <w:rsid w:val="003F5B52"/>
    <w:rsid w:val="003F5FAB"/>
    <w:rsid w:val="003F79A5"/>
    <w:rsid w:val="00401006"/>
    <w:rsid w:val="00402379"/>
    <w:rsid w:val="0040307C"/>
    <w:rsid w:val="00403DF9"/>
    <w:rsid w:val="00405524"/>
    <w:rsid w:val="00407114"/>
    <w:rsid w:val="00410198"/>
    <w:rsid w:val="004137FF"/>
    <w:rsid w:val="0041391C"/>
    <w:rsid w:val="00413EEB"/>
    <w:rsid w:val="00416670"/>
    <w:rsid w:val="004173A0"/>
    <w:rsid w:val="00417BD4"/>
    <w:rsid w:val="00417E99"/>
    <w:rsid w:val="004208AD"/>
    <w:rsid w:val="004225B7"/>
    <w:rsid w:val="00430147"/>
    <w:rsid w:val="00431D9A"/>
    <w:rsid w:val="004368FF"/>
    <w:rsid w:val="00440009"/>
    <w:rsid w:val="004412BB"/>
    <w:rsid w:val="00441665"/>
    <w:rsid w:val="00442AF7"/>
    <w:rsid w:val="004438C5"/>
    <w:rsid w:val="00443BC7"/>
    <w:rsid w:val="00444086"/>
    <w:rsid w:val="00444FBC"/>
    <w:rsid w:val="00447249"/>
    <w:rsid w:val="00453609"/>
    <w:rsid w:val="00453ED0"/>
    <w:rsid w:val="00454C91"/>
    <w:rsid w:val="00455204"/>
    <w:rsid w:val="0045561E"/>
    <w:rsid w:val="004560B9"/>
    <w:rsid w:val="00456F7B"/>
    <w:rsid w:val="00457AAB"/>
    <w:rsid w:val="00457E9A"/>
    <w:rsid w:val="00462236"/>
    <w:rsid w:val="00462B69"/>
    <w:rsid w:val="00462B8C"/>
    <w:rsid w:val="0046341F"/>
    <w:rsid w:val="00464061"/>
    <w:rsid w:val="0046457B"/>
    <w:rsid w:val="00464622"/>
    <w:rsid w:val="00465015"/>
    <w:rsid w:val="00466111"/>
    <w:rsid w:val="004664A8"/>
    <w:rsid w:val="00466A27"/>
    <w:rsid w:val="004700C6"/>
    <w:rsid w:val="00470A03"/>
    <w:rsid w:val="00471468"/>
    <w:rsid w:val="00472F6E"/>
    <w:rsid w:val="00474D22"/>
    <w:rsid w:val="0048081E"/>
    <w:rsid w:val="00482183"/>
    <w:rsid w:val="00482FB3"/>
    <w:rsid w:val="004836BF"/>
    <w:rsid w:val="00483B88"/>
    <w:rsid w:val="0048669C"/>
    <w:rsid w:val="00486E49"/>
    <w:rsid w:val="00490788"/>
    <w:rsid w:val="00491ADE"/>
    <w:rsid w:val="00492498"/>
    <w:rsid w:val="0049267E"/>
    <w:rsid w:val="00492ECA"/>
    <w:rsid w:val="004931B2"/>
    <w:rsid w:val="0049481B"/>
    <w:rsid w:val="00494BA4"/>
    <w:rsid w:val="0049619B"/>
    <w:rsid w:val="00496468"/>
    <w:rsid w:val="00496695"/>
    <w:rsid w:val="00496D89"/>
    <w:rsid w:val="004A03EF"/>
    <w:rsid w:val="004A0636"/>
    <w:rsid w:val="004A0764"/>
    <w:rsid w:val="004A3B5B"/>
    <w:rsid w:val="004A4838"/>
    <w:rsid w:val="004A4E81"/>
    <w:rsid w:val="004A6EF7"/>
    <w:rsid w:val="004B01CC"/>
    <w:rsid w:val="004B0264"/>
    <w:rsid w:val="004B1BCB"/>
    <w:rsid w:val="004B37D1"/>
    <w:rsid w:val="004B40D7"/>
    <w:rsid w:val="004B4900"/>
    <w:rsid w:val="004B49EB"/>
    <w:rsid w:val="004B5623"/>
    <w:rsid w:val="004B5B6B"/>
    <w:rsid w:val="004B5D55"/>
    <w:rsid w:val="004B6202"/>
    <w:rsid w:val="004B7143"/>
    <w:rsid w:val="004B7776"/>
    <w:rsid w:val="004C042E"/>
    <w:rsid w:val="004C20A1"/>
    <w:rsid w:val="004C27BC"/>
    <w:rsid w:val="004C2DF8"/>
    <w:rsid w:val="004C3B75"/>
    <w:rsid w:val="004C3DAE"/>
    <w:rsid w:val="004C4C67"/>
    <w:rsid w:val="004C7699"/>
    <w:rsid w:val="004D0DB4"/>
    <w:rsid w:val="004D108F"/>
    <w:rsid w:val="004D254C"/>
    <w:rsid w:val="004D3597"/>
    <w:rsid w:val="004D43C8"/>
    <w:rsid w:val="004D4BCF"/>
    <w:rsid w:val="004D4DFE"/>
    <w:rsid w:val="004D77B9"/>
    <w:rsid w:val="004E1470"/>
    <w:rsid w:val="004E280D"/>
    <w:rsid w:val="004E45B9"/>
    <w:rsid w:val="004E5189"/>
    <w:rsid w:val="004E595F"/>
    <w:rsid w:val="004E5999"/>
    <w:rsid w:val="004E6A7F"/>
    <w:rsid w:val="004F0416"/>
    <w:rsid w:val="004F191A"/>
    <w:rsid w:val="004F1F52"/>
    <w:rsid w:val="004F242B"/>
    <w:rsid w:val="004F2721"/>
    <w:rsid w:val="004F28D5"/>
    <w:rsid w:val="004F4868"/>
    <w:rsid w:val="004F5542"/>
    <w:rsid w:val="004F56FD"/>
    <w:rsid w:val="004F6472"/>
    <w:rsid w:val="00501FC8"/>
    <w:rsid w:val="00502595"/>
    <w:rsid w:val="00502D78"/>
    <w:rsid w:val="005030A9"/>
    <w:rsid w:val="00505495"/>
    <w:rsid w:val="005057EC"/>
    <w:rsid w:val="00506A9B"/>
    <w:rsid w:val="00506AC3"/>
    <w:rsid w:val="00506D91"/>
    <w:rsid w:val="00507751"/>
    <w:rsid w:val="00507926"/>
    <w:rsid w:val="00513F60"/>
    <w:rsid w:val="00514F64"/>
    <w:rsid w:val="00515782"/>
    <w:rsid w:val="00515D87"/>
    <w:rsid w:val="00515FC7"/>
    <w:rsid w:val="00516236"/>
    <w:rsid w:val="0051798B"/>
    <w:rsid w:val="00517B70"/>
    <w:rsid w:val="00521F32"/>
    <w:rsid w:val="00522205"/>
    <w:rsid w:val="00524D70"/>
    <w:rsid w:val="00530A5F"/>
    <w:rsid w:val="00531170"/>
    <w:rsid w:val="0053130A"/>
    <w:rsid w:val="00534146"/>
    <w:rsid w:val="005341FA"/>
    <w:rsid w:val="005342F6"/>
    <w:rsid w:val="00534598"/>
    <w:rsid w:val="005349B4"/>
    <w:rsid w:val="0053530B"/>
    <w:rsid w:val="005355CF"/>
    <w:rsid w:val="00535F30"/>
    <w:rsid w:val="005363A0"/>
    <w:rsid w:val="00536CF0"/>
    <w:rsid w:val="005416CF"/>
    <w:rsid w:val="00542426"/>
    <w:rsid w:val="0054318A"/>
    <w:rsid w:val="005434F4"/>
    <w:rsid w:val="0054382B"/>
    <w:rsid w:val="005439B6"/>
    <w:rsid w:val="005442AB"/>
    <w:rsid w:val="00547924"/>
    <w:rsid w:val="005504FD"/>
    <w:rsid w:val="0055103F"/>
    <w:rsid w:val="0055182F"/>
    <w:rsid w:val="00553173"/>
    <w:rsid w:val="00553334"/>
    <w:rsid w:val="005536E2"/>
    <w:rsid w:val="005539E2"/>
    <w:rsid w:val="00553A61"/>
    <w:rsid w:val="00555E19"/>
    <w:rsid w:val="005563D8"/>
    <w:rsid w:val="00557494"/>
    <w:rsid w:val="00561FD0"/>
    <w:rsid w:val="005645D5"/>
    <w:rsid w:val="0056529D"/>
    <w:rsid w:val="00566E6B"/>
    <w:rsid w:val="00567E89"/>
    <w:rsid w:val="005715A1"/>
    <w:rsid w:val="00573CE0"/>
    <w:rsid w:val="005743A7"/>
    <w:rsid w:val="005744F5"/>
    <w:rsid w:val="00574616"/>
    <w:rsid w:val="005768D0"/>
    <w:rsid w:val="005774D0"/>
    <w:rsid w:val="00577B18"/>
    <w:rsid w:val="00577D32"/>
    <w:rsid w:val="005812F1"/>
    <w:rsid w:val="005818C1"/>
    <w:rsid w:val="00584149"/>
    <w:rsid w:val="00584238"/>
    <w:rsid w:val="005845A0"/>
    <w:rsid w:val="0058493C"/>
    <w:rsid w:val="0058609A"/>
    <w:rsid w:val="00587370"/>
    <w:rsid w:val="005900D3"/>
    <w:rsid w:val="0059062E"/>
    <w:rsid w:val="005918BA"/>
    <w:rsid w:val="00592135"/>
    <w:rsid w:val="0059327B"/>
    <w:rsid w:val="005935AA"/>
    <w:rsid w:val="00593714"/>
    <w:rsid w:val="005937CA"/>
    <w:rsid w:val="00596F71"/>
    <w:rsid w:val="00597A00"/>
    <w:rsid w:val="00597B55"/>
    <w:rsid w:val="005A096C"/>
    <w:rsid w:val="005A0C1D"/>
    <w:rsid w:val="005A329D"/>
    <w:rsid w:val="005A4A4F"/>
    <w:rsid w:val="005A4A71"/>
    <w:rsid w:val="005A5256"/>
    <w:rsid w:val="005B024A"/>
    <w:rsid w:val="005B0E7A"/>
    <w:rsid w:val="005B150D"/>
    <w:rsid w:val="005B1E95"/>
    <w:rsid w:val="005B3271"/>
    <w:rsid w:val="005B4487"/>
    <w:rsid w:val="005B4BD8"/>
    <w:rsid w:val="005B5184"/>
    <w:rsid w:val="005B561C"/>
    <w:rsid w:val="005B6187"/>
    <w:rsid w:val="005B6B22"/>
    <w:rsid w:val="005B6FD3"/>
    <w:rsid w:val="005B71EA"/>
    <w:rsid w:val="005B7BE7"/>
    <w:rsid w:val="005B7C27"/>
    <w:rsid w:val="005C5B2E"/>
    <w:rsid w:val="005C5E35"/>
    <w:rsid w:val="005C694D"/>
    <w:rsid w:val="005D09B1"/>
    <w:rsid w:val="005D0C17"/>
    <w:rsid w:val="005D0CE0"/>
    <w:rsid w:val="005D0DEA"/>
    <w:rsid w:val="005D1D77"/>
    <w:rsid w:val="005D22B2"/>
    <w:rsid w:val="005D2559"/>
    <w:rsid w:val="005D43B4"/>
    <w:rsid w:val="005D55A7"/>
    <w:rsid w:val="005D5874"/>
    <w:rsid w:val="005D64AD"/>
    <w:rsid w:val="005D7A0A"/>
    <w:rsid w:val="005E07E4"/>
    <w:rsid w:val="005E0B73"/>
    <w:rsid w:val="005E1634"/>
    <w:rsid w:val="005E1F1A"/>
    <w:rsid w:val="005E33C0"/>
    <w:rsid w:val="005E3800"/>
    <w:rsid w:val="005E496D"/>
    <w:rsid w:val="005E54F0"/>
    <w:rsid w:val="005E5CB9"/>
    <w:rsid w:val="005E5E3B"/>
    <w:rsid w:val="005E77E4"/>
    <w:rsid w:val="005E7CF1"/>
    <w:rsid w:val="005E7F4D"/>
    <w:rsid w:val="005F2F0A"/>
    <w:rsid w:val="005F3852"/>
    <w:rsid w:val="005F659F"/>
    <w:rsid w:val="005F7084"/>
    <w:rsid w:val="005F7F94"/>
    <w:rsid w:val="00600C08"/>
    <w:rsid w:val="0060137F"/>
    <w:rsid w:val="00604C8D"/>
    <w:rsid w:val="006060CF"/>
    <w:rsid w:val="00606DE8"/>
    <w:rsid w:val="0060703F"/>
    <w:rsid w:val="00607343"/>
    <w:rsid w:val="0061137D"/>
    <w:rsid w:val="00611617"/>
    <w:rsid w:val="00611684"/>
    <w:rsid w:val="00611D2C"/>
    <w:rsid w:val="0061284E"/>
    <w:rsid w:val="006134D0"/>
    <w:rsid w:val="00614371"/>
    <w:rsid w:val="00615636"/>
    <w:rsid w:val="00617453"/>
    <w:rsid w:val="00620A14"/>
    <w:rsid w:val="00623063"/>
    <w:rsid w:val="00624FCD"/>
    <w:rsid w:val="00625209"/>
    <w:rsid w:val="00625420"/>
    <w:rsid w:val="006264AE"/>
    <w:rsid w:val="00627940"/>
    <w:rsid w:val="00627F01"/>
    <w:rsid w:val="006355E2"/>
    <w:rsid w:val="00636344"/>
    <w:rsid w:val="00637A86"/>
    <w:rsid w:val="00640FFE"/>
    <w:rsid w:val="00641935"/>
    <w:rsid w:val="00641D31"/>
    <w:rsid w:val="0064235F"/>
    <w:rsid w:val="0064263F"/>
    <w:rsid w:val="00642AA7"/>
    <w:rsid w:val="006440A0"/>
    <w:rsid w:val="006440A6"/>
    <w:rsid w:val="00644C38"/>
    <w:rsid w:val="00645DBA"/>
    <w:rsid w:val="00647B54"/>
    <w:rsid w:val="00650404"/>
    <w:rsid w:val="00650DAC"/>
    <w:rsid w:val="00653AC8"/>
    <w:rsid w:val="0065452D"/>
    <w:rsid w:val="00654E33"/>
    <w:rsid w:val="00655866"/>
    <w:rsid w:val="0066098A"/>
    <w:rsid w:val="00660A18"/>
    <w:rsid w:val="00660AD1"/>
    <w:rsid w:val="006614EC"/>
    <w:rsid w:val="0066171B"/>
    <w:rsid w:val="00662A93"/>
    <w:rsid w:val="00662E1C"/>
    <w:rsid w:val="00663165"/>
    <w:rsid w:val="00663919"/>
    <w:rsid w:val="00664908"/>
    <w:rsid w:val="006657C9"/>
    <w:rsid w:val="00665D9F"/>
    <w:rsid w:val="00670B6C"/>
    <w:rsid w:val="0067159E"/>
    <w:rsid w:val="00674728"/>
    <w:rsid w:val="00675922"/>
    <w:rsid w:val="006763B4"/>
    <w:rsid w:val="00683E1B"/>
    <w:rsid w:val="006843BE"/>
    <w:rsid w:val="006847B1"/>
    <w:rsid w:val="00684E4A"/>
    <w:rsid w:val="00685045"/>
    <w:rsid w:val="0068537A"/>
    <w:rsid w:val="006863FC"/>
    <w:rsid w:val="0068679B"/>
    <w:rsid w:val="00686FC9"/>
    <w:rsid w:val="00687A1D"/>
    <w:rsid w:val="00691BE7"/>
    <w:rsid w:val="00693503"/>
    <w:rsid w:val="006947CE"/>
    <w:rsid w:val="006957CE"/>
    <w:rsid w:val="00696177"/>
    <w:rsid w:val="00696921"/>
    <w:rsid w:val="00696B70"/>
    <w:rsid w:val="0069705D"/>
    <w:rsid w:val="006A0DE4"/>
    <w:rsid w:val="006A0E44"/>
    <w:rsid w:val="006A0FC9"/>
    <w:rsid w:val="006A1A3E"/>
    <w:rsid w:val="006A3B1B"/>
    <w:rsid w:val="006A3EB7"/>
    <w:rsid w:val="006A4D10"/>
    <w:rsid w:val="006A5AAA"/>
    <w:rsid w:val="006A64A8"/>
    <w:rsid w:val="006B1535"/>
    <w:rsid w:val="006B3F92"/>
    <w:rsid w:val="006B42B1"/>
    <w:rsid w:val="006B45CD"/>
    <w:rsid w:val="006B5490"/>
    <w:rsid w:val="006B56F3"/>
    <w:rsid w:val="006B64D5"/>
    <w:rsid w:val="006B71B2"/>
    <w:rsid w:val="006B7ABA"/>
    <w:rsid w:val="006C01FD"/>
    <w:rsid w:val="006C0744"/>
    <w:rsid w:val="006C0A07"/>
    <w:rsid w:val="006C10C0"/>
    <w:rsid w:val="006C1AF3"/>
    <w:rsid w:val="006C1FBB"/>
    <w:rsid w:val="006C3FC2"/>
    <w:rsid w:val="006C4CAD"/>
    <w:rsid w:val="006C5A3D"/>
    <w:rsid w:val="006C683E"/>
    <w:rsid w:val="006C732D"/>
    <w:rsid w:val="006C7DB6"/>
    <w:rsid w:val="006D0C39"/>
    <w:rsid w:val="006D4A8C"/>
    <w:rsid w:val="006D4F45"/>
    <w:rsid w:val="006D536B"/>
    <w:rsid w:val="006D7294"/>
    <w:rsid w:val="006E07FA"/>
    <w:rsid w:val="006E0DF5"/>
    <w:rsid w:val="006E1180"/>
    <w:rsid w:val="006E1A8C"/>
    <w:rsid w:val="006E1DF1"/>
    <w:rsid w:val="006E4E42"/>
    <w:rsid w:val="006E4F3B"/>
    <w:rsid w:val="006E6674"/>
    <w:rsid w:val="006E7098"/>
    <w:rsid w:val="006E7653"/>
    <w:rsid w:val="006E7F14"/>
    <w:rsid w:val="006F072C"/>
    <w:rsid w:val="006F10C5"/>
    <w:rsid w:val="006F11EE"/>
    <w:rsid w:val="006F1655"/>
    <w:rsid w:val="006F2835"/>
    <w:rsid w:val="006F2A03"/>
    <w:rsid w:val="006F2D68"/>
    <w:rsid w:val="006F37EF"/>
    <w:rsid w:val="006F38B8"/>
    <w:rsid w:val="006F50A6"/>
    <w:rsid w:val="006F5776"/>
    <w:rsid w:val="006F72D8"/>
    <w:rsid w:val="00700759"/>
    <w:rsid w:val="00700BCC"/>
    <w:rsid w:val="00702E11"/>
    <w:rsid w:val="00703974"/>
    <w:rsid w:val="00703F18"/>
    <w:rsid w:val="0070479B"/>
    <w:rsid w:val="007066F7"/>
    <w:rsid w:val="00706D76"/>
    <w:rsid w:val="007079BF"/>
    <w:rsid w:val="00707D94"/>
    <w:rsid w:val="00710344"/>
    <w:rsid w:val="007114B6"/>
    <w:rsid w:val="0071210F"/>
    <w:rsid w:val="00712EF5"/>
    <w:rsid w:val="00713602"/>
    <w:rsid w:val="0071403D"/>
    <w:rsid w:val="007140A9"/>
    <w:rsid w:val="00714756"/>
    <w:rsid w:val="0071517F"/>
    <w:rsid w:val="00717F56"/>
    <w:rsid w:val="0072012D"/>
    <w:rsid w:val="007219A8"/>
    <w:rsid w:val="00721E9A"/>
    <w:rsid w:val="007225BE"/>
    <w:rsid w:val="007230DB"/>
    <w:rsid w:val="0072477D"/>
    <w:rsid w:val="007257DD"/>
    <w:rsid w:val="007324A2"/>
    <w:rsid w:val="007329BB"/>
    <w:rsid w:val="00732DE6"/>
    <w:rsid w:val="00733902"/>
    <w:rsid w:val="00734280"/>
    <w:rsid w:val="00734F46"/>
    <w:rsid w:val="00735217"/>
    <w:rsid w:val="00735748"/>
    <w:rsid w:val="00736418"/>
    <w:rsid w:val="00736597"/>
    <w:rsid w:val="00736C73"/>
    <w:rsid w:val="0073748D"/>
    <w:rsid w:val="00737C78"/>
    <w:rsid w:val="00742326"/>
    <w:rsid w:val="00742685"/>
    <w:rsid w:val="007428CB"/>
    <w:rsid w:val="00744765"/>
    <w:rsid w:val="00747E49"/>
    <w:rsid w:val="007501FE"/>
    <w:rsid w:val="00750FDA"/>
    <w:rsid w:val="00751D6C"/>
    <w:rsid w:val="00752933"/>
    <w:rsid w:val="00752F38"/>
    <w:rsid w:val="00753BA6"/>
    <w:rsid w:val="00753E53"/>
    <w:rsid w:val="007542B3"/>
    <w:rsid w:val="00754D9D"/>
    <w:rsid w:val="007552EC"/>
    <w:rsid w:val="007554E9"/>
    <w:rsid w:val="00760C2A"/>
    <w:rsid w:val="00762588"/>
    <w:rsid w:val="007625D5"/>
    <w:rsid w:val="00763EA6"/>
    <w:rsid w:val="007641D9"/>
    <w:rsid w:val="007649DA"/>
    <w:rsid w:val="007662DC"/>
    <w:rsid w:val="007704D1"/>
    <w:rsid w:val="007707D6"/>
    <w:rsid w:val="00771DB4"/>
    <w:rsid w:val="007733F8"/>
    <w:rsid w:val="00773515"/>
    <w:rsid w:val="00774115"/>
    <w:rsid w:val="00775282"/>
    <w:rsid w:val="00775934"/>
    <w:rsid w:val="00776347"/>
    <w:rsid w:val="00776D49"/>
    <w:rsid w:val="00777897"/>
    <w:rsid w:val="00780B12"/>
    <w:rsid w:val="00781BF5"/>
    <w:rsid w:val="0078250E"/>
    <w:rsid w:val="00783CB5"/>
    <w:rsid w:val="00784284"/>
    <w:rsid w:val="00786CA4"/>
    <w:rsid w:val="007901A6"/>
    <w:rsid w:val="00790200"/>
    <w:rsid w:val="007924C2"/>
    <w:rsid w:val="00792F59"/>
    <w:rsid w:val="007951EC"/>
    <w:rsid w:val="007951FC"/>
    <w:rsid w:val="007967CD"/>
    <w:rsid w:val="00796870"/>
    <w:rsid w:val="00796A49"/>
    <w:rsid w:val="00796BAC"/>
    <w:rsid w:val="00797636"/>
    <w:rsid w:val="007A0BC8"/>
    <w:rsid w:val="007A113E"/>
    <w:rsid w:val="007A142F"/>
    <w:rsid w:val="007A1DAB"/>
    <w:rsid w:val="007A1FD3"/>
    <w:rsid w:val="007A225B"/>
    <w:rsid w:val="007A250B"/>
    <w:rsid w:val="007A442B"/>
    <w:rsid w:val="007A52B3"/>
    <w:rsid w:val="007A57E9"/>
    <w:rsid w:val="007A5B7A"/>
    <w:rsid w:val="007A60F8"/>
    <w:rsid w:val="007A614C"/>
    <w:rsid w:val="007A6B22"/>
    <w:rsid w:val="007A6F74"/>
    <w:rsid w:val="007A714F"/>
    <w:rsid w:val="007B031B"/>
    <w:rsid w:val="007B1A28"/>
    <w:rsid w:val="007B44E8"/>
    <w:rsid w:val="007B5402"/>
    <w:rsid w:val="007B674F"/>
    <w:rsid w:val="007B6DAF"/>
    <w:rsid w:val="007C17CD"/>
    <w:rsid w:val="007C18E9"/>
    <w:rsid w:val="007C1EA4"/>
    <w:rsid w:val="007C3054"/>
    <w:rsid w:val="007C46BC"/>
    <w:rsid w:val="007C4711"/>
    <w:rsid w:val="007C4B2D"/>
    <w:rsid w:val="007C5313"/>
    <w:rsid w:val="007C557A"/>
    <w:rsid w:val="007C5F0E"/>
    <w:rsid w:val="007C64DB"/>
    <w:rsid w:val="007C654C"/>
    <w:rsid w:val="007C6B75"/>
    <w:rsid w:val="007D00C7"/>
    <w:rsid w:val="007D00F2"/>
    <w:rsid w:val="007D0EA7"/>
    <w:rsid w:val="007D2C43"/>
    <w:rsid w:val="007D2FE5"/>
    <w:rsid w:val="007D396F"/>
    <w:rsid w:val="007D3EE8"/>
    <w:rsid w:val="007D484B"/>
    <w:rsid w:val="007D4A13"/>
    <w:rsid w:val="007D6EDA"/>
    <w:rsid w:val="007E0BE9"/>
    <w:rsid w:val="007E4646"/>
    <w:rsid w:val="007E554F"/>
    <w:rsid w:val="007E5CD7"/>
    <w:rsid w:val="007E5F2A"/>
    <w:rsid w:val="007E65A7"/>
    <w:rsid w:val="007E7125"/>
    <w:rsid w:val="007E78FC"/>
    <w:rsid w:val="007E7C3B"/>
    <w:rsid w:val="007F008E"/>
    <w:rsid w:val="007F06C0"/>
    <w:rsid w:val="007F07F6"/>
    <w:rsid w:val="007F1485"/>
    <w:rsid w:val="007F2D66"/>
    <w:rsid w:val="007F3533"/>
    <w:rsid w:val="007F3827"/>
    <w:rsid w:val="007F404C"/>
    <w:rsid w:val="007F477E"/>
    <w:rsid w:val="007F5518"/>
    <w:rsid w:val="007F67C3"/>
    <w:rsid w:val="007F7762"/>
    <w:rsid w:val="007F7AE7"/>
    <w:rsid w:val="00801706"/>
    <w:rsid w:val="00802AC4"/>
    <w:rsid w:val="00803BE3"/>
    <w:rsid w:val="00804857"/>
    <w:rsid w:val="008065AF"/>
    <w:rsid w:val="00806720"/>
    <w:rsid w:val="008103B2"/>
    <w:rsid w:val="008114E2"/>
    <w:rsid w:val="008125E8"/>
    <w:rsid w:val="008130C7"/>
    <w:rsid w:val="0081399B"/>
    <w:rsid w:val="00813B49"/>
    <w:rsid w:val="00814346"/>
    <w:rsid w:val="0081495F"/>
    <w:rsid w:val="00814DD6"/>
    <w:rsid w:val="00814EAE"/>
    <w:rsid w:val="00815F59"/>
    <w:rsid w:val="008162F6"/>
    <w:rsid w:val="008167F5"/>
    <w:rsid w:val="008203BB"/>
    <w:rsid w:val="0082225B"/>
    <w:rsid w:val="0082263D"/>
    <w:rsid w:val="0082576C"/>
    <w:rsid w:val="008324C2"/>
    <w:rsid w:val="00834307"/>
    <w:rsid w:val="0083607F"/>
    <w:rsid w:val="0083777D"/>
    <w:rsid w:val="0083783E"/>
    <w:rsid w:val="0084078A"/>
    <w:rsid w:val="00842F60"/>
    <w:rsid w:val="00843C49"/>
    <w:rsid w:val="008442D8"/>
    <w:rsid w:val="00844806"/>
    <w:rsid w:val="00844FE6"/>
    <w:rsid w:val="00845E15"/>
    <w:rsid w:val="00847A09"/>
    <w:rsid w:val="008532EB"/>
    <w:rsid w:val="00853CC0"/>
    <w:rsid w:val="00854BC0"/>
    <w:rsid w:val="00854D5A"/>
    <w:rsid w:val="00854EDD"/>
    <w:rsid w:val="008551DC"/>
    <w:rsid w:val="00855264"/>
    <w:rsid w:val="0085590C"/>
    <w:rsid w:val="0085595C"/>
    <w:rsid w:val="00856338"/>
    <w:rsid w:val="00856580"/>
    <w:rsid w:val="00856F91"/>
    <w:rsid w:val="00861C86"/>
    <w:rsid w:val="00863B62"/>
    <w:rsid w:val="00864C02"/>
    <w:rsid w:val="00865F45"/>
    <w:rsid w:val="00866110"/>
    <w:rsid w:val="00866F9B"/>
    <w:rsid w:val="00867613"/>
    <w:rsid w:val="00867E93"/>
    <w:rsid w:val="00870072"/>
    <w:rsid w:val="00871473"/>
    <w:rsid w:val="00874AB5"/>
    <w:rsid w:val="00875405"/>
    <w:rsid w:val="00875A13"/>
    <w:rsid w:val="008763A3"/>
    <w:rsid w:val="00876A6C"/>
    <w:rsid w:val="00881226"/>
    <w:rsid w:val="00881363"/>
    <w:rsid w:val="008822CD"/>
    <w:rsid w:val="0088237D"/>
    <w:rsid w:val="008823E9"/>
    <w:rsid w:val="00883C52"/>
    <w:rsid w:val="00883E89"/>
    <w:rsid w:val="00884E49"/>
    <w:rsid w:val="0088519D"/>
    <w:rsid w:val="00886381"/>
    <w:rsid w:val="00886735"/>
    <w:rsid w:val="008876AB"/>
    <w:rsid w:val="00887AF9"/>
    <w:rsid w:val="00890C08"/>
    <w:rsid w:val="00891E92"/>
    <w:rsid w:val="00892180"/>
    <w:rsid w:val="00893C9B"/>
    <w:rsid w:val="00894324"/>
    <w:rsid w:val="0089436C"/>
    <w:rsid w:val="00894B16"/>
    <w:rsid w:val="00894FC8"/>
    <w:rsid w:val="00895B5C"/>
    <w:rsid w:val="00897832"/>
    <w:rsid w:val="0089784B"/>
    <w:rsid w:val="008A259B"/>
    <w:rsid w:val="008A37C8"/>
    <w:rsid w:val="008A57A9"/>
    <w:rsid w:val="008A57C9"/>
    <w:rsid w:val="008A5A92"/>
    <w:rsid w:val="008A6220"/>
    <w:rsid w:val="008A70C8"/>
    <w:rsid w:val="008B25B1"/>
    <w:rsid w:val="008B27EE"/>
    <w:rsid w:val="008B46A5"/>
    <w:rsid w:val="008B5F8B"/>
    <w:rsid w:val="008B635C"/>
    <w:rsid w:val="008B7423"/>
    <w:rsid w:val="008B7891"/>
    <w:rsid w:val="008C1563"/>
    <w:rsid w:val="008C1FC0"/>
    <w:rsid w:val="008C34CE"/>
    <w:rsid w:val="008C4675"/>
    <w:rsid w:val="008C46B8"/>
    <w:rsid w:val="008C4ABE"/>
    <w:rsid w:val="008C5847"/>
    <w:rsid w:val="008C700A"/>
    <w:rsid w:val="008C7243"/>
    <w:rsid w:val="008C7554"/>
    <w:rsid w:val="008D05B9"/>
    <w:rsid w:val="008D07A1"/>
    <w:rsid w:val="008D1356"/>
    <w:rsid w:val="008D1710"/>
    <w:rsid w:val="008D37DA"/>
    <w:rsid w:val="008D7280"/>
    <w:rsid w:val="008D7868"/>
    <w:rsid w:val="008D7A56"/>
    <w:rsid w:val="008E0248"/>
    <w:rsid w:val="008E2FFB"/>
    <w:rsid w:val="008E435B"/>
    <w:rsid w:val="008E4642"/>
    <w:rsid w:val="008E6138"/>
    <w:rsid w:val="008F0020"/>
    <w:rsid w:val="008F0887"/>
    <w:rsid w:val="008F1652"/>
    <w:rsid w:val="008F2604"/>
    <w:rsid w:val="008F443B"/>
    <w:rsid w:val="008F50FE"/>
    <w:rsid w:val="008F5ED9"/>
    <w:rsid w:val="008F7A2C"/>
    <w:rsid w:val="00901D7A"/>
    <w:rsid w:val="00902425"/>
    <w:rsid w:val="009025EB"/>
    <w:rsid w:val="00903ED1"/>
    <w:rsid w:val="0090463E"/>
    <w:rsid w:val="00904B63"/>
    <w:rsid w:val="00906E3B"/>
    <w:rsid w:val="00907A28"/>
    <w:rsid w:val="00907CE2"/>
    <w:rsid w:val="00907D03"/>
    <w:rsid w:val="00910AC2"/>
    <w:rsid w:val="00911C5A"/>
    <w:rsid w:val="009129E3"/>
    <w:rsid w:val="009136BA"/>
    <w:rsid w:val="00914705"/>
    <w:rsid w:val="009153B3"/>
    <w:rsid w:val="00920BE8"/>
    <w:rsid w:val="00921E12"/>
    <w:rsid w:val="00922BD0"/>
    <w:rsid w:val="00922D84"/>
    <w:rsid w:val="00923FBF"/>
    <w:rsid w:val="00924F64"/>
    <w:rsid w:val="00925FFD"/>
    <w:rsid w:val="00926299"/>
    <w:rsid w:val="0092721D"/>
    <w:rsid w:val="00931976"/>
    <w:rsid w:val="009409B5"/>
    <w:rsid w:val="009412EE"/>
    <w:rsid w:val="009435F1"/>
    <w:rsid w:val="009462A3"/>
    <w:rsid w:val="00947CC2"/>
    <w:rsid w:val="009504CD"/>
    <w:rsid w:val="00951925"/>
    <w:rsid w:val="00952D7A"/>
    <w:rsid w:val="0095341F"/>
    <w:rsid w:val="00954088"/>
    <w:rsid w:val="00954E7D"/>
    <w:rsid w:val="009551BB"/>
    <w:rsid w:val="0095537C"/>
    <w:rsid w:val="00956A3D"/>
    <w:rsid w:val="00957513"/>
    <w:rsid w:val="00960072"/>
    <w:rsid w:val="009603B5"/>
    <w:rsid w:val="0096093A"/>
    <w:rsid w:val="00960E89"/>
    <w:rsid w:val="00963294"/>
    <w:rsid w:val="00963A07"/>
    <w:rsid w:val="00963A75"/>
    <w:rsid w:val="00964197"/>
    <w:rsid w:val="009666A7"/>
    <w:rsid w:val="009669E4"/>
    <w:rsid w:val="00967C79"/>
    <w:rsid w:val="00971913"/>
    <w:rsid w:val="00972584"/>
    <w:rsid w:val="00974967"/>
    <w:rsid w:val="009756F0"/>
    <w:rsid w:val="00976337"/>
    <w:rsid w:val="0097695B"/>
    <w:rsid w:val="00976E3E"/>
    <w:rsid w:val="009774D2"/>
    <w:rsid w:val="009776F6"/>
    <w:rsid w:val="00977DE4"/>
    <w:rsid w:val="00982A9B"/>
    <w:rsid w:val="00982AF6"/>
    <w:rsid w:val="0098305C"/>
    <w:rsid w:val="009838C6"/>
    <w:rsid w:val="00983E84"/>
    <w:rsid w:val="00984EAF"/>
    <w:rsid w:val="00986060"/>
    <w:rsid w:val="00990017"/>
    <w:rsid w:val="009913F2"/>
    <w:rsid w:val="0099273D"/>
    <w:rsid w:val="0099315B"/>
    <w:rsid w:val="00993356"/>
    <w:rsid w:val="00993879"/>
    <w:rsid w:val="009952EE"/>
    <w:rsid w:val="00995CDC"/>
    <w:rsid w:val="00996524"/>
    <w:rsid w:val="00996F51"/>
    <w:rsid w:val="009A07D4"/>
    <w:rsid w:val="009A132A"/>
    <w:rsid w:val="009A2838"/>
    <w:rsid w:val="009A2BF3"/>
    <w:rsid w:val="009A3478"/>
    <w:rsid w:val="009A38AB"/>
    <w:rsid w:val="009A3DF9"/>
    <w:rsid w:val="009A4006"/>
    <w:rsid w:val="009A41DA"/>
    <w:rsid w:val="009A586C"/>
    <w:rsid w:val="009B059D"/>
    <w:rsid w:val="009B0DAD"/>
    <w:rsid w:val="009B12A2"/>
    <w:rsid w:val="009C1CB0"/>
    <w:rsid w:val="009C271A"/>
    <w:rsid w:val="009C2736"/>
    <w:rsid w:val="009C30BD"/>
    <w:rsid w:val="009C3AE5"/>
    <w:rsid w:val="009C4C9E"/>
    <w:rsid w:val="009C59E9"/>
    <w:rsid w:val="009C6056"/>
    <w:rsid w:val="009C6A44"/>
    <w:rsid w:val="009C6C54"/>
    <w:rsid w:val="009C733B"/>
    <w:rsid w:val="009C7D47"/>
    <w:rsid w:val="009D12FA"/>
    <w:rsid w:val="009D2524"/>
    <w:rsid w:val="009D48DE"/>
    <w:rsid w:val="009D5463"/>
    <w:rsid w:val="009D6CA1"/>
    <w:rsid w:val="009D6F37"/>
    <w:rsid w:val="009D7F06"/>
    <w:rsid w:val="009E0500"/>
    <w:rsid w:val="009E1C12"/>
    <w:rsid w:val="009E2845"/>
    <w:rsid w:val="009E323D"/>
    <w:rsid w:val="009E4402"/>
    <w:rsid w:val="009E4A55"/>
    <w:rsid w:val="009E4A8F"/>
    <w:rsid w:val="009E562C"/>
    <w:rsid w:val="009E5DCD"/>
    <w:rsid w:val="009E73C4"/>
    <w:rsid w:val="009E7815"/>
    <w:rsid w:val="009F0B79"/>
    <w:rsid w:val="009F1069"/>
    <w:rsid w:val="009F1A98"/>
    <w:rsid w:val="009F68DE"/>
    <w:rsid w:val="009F6915"/>
    <w:rsid w:val="009F7E40"/>
    <w:rsid w:val="00A025B7"/>
    <w:rsid w:val="00A03F90"/>
    <w:rsid w:val="00A04B31"/>
    <w:rsid w:val="00A05C18"/>
    <w:rsid w:val="00A067D3"/>
    <w:rsid w:val="00A0721D"/>
    <w:rsid w:val="00A0729F"/>
    <w:rsid w:val="00A12240"/>
    <w:rsid w:val="00A12AB7"/>
    <w:rsid w:val="00A133B2"/>
    <w:rsid w:val="00A14554"/>
    <w:rsid w:val="00A17310"/>
    <w:rsid w:val="00A204EE"/>
    <w:rsid w:val="00A20A05"/>
    <w:rsid w:val="00A20A52"/>
    <w:rsid w:val="00A22C3A"/>
    <w:rsid w:val="00A2334D"/>
    <w:rsid w:val="00A24791"/>
    <w:rsid w:val="00A268D2"/>
    <w:rsid w:val="00A269BC"/>
    <w:rsid w:val="00A26D3A"/>
    <w:rsid w:val="00A274BA"/>
    <w:rsid w:val="00A30FC5"/>
    <w:rsid w:val="00A31B37"/>
    <w:rsid w:val="00A3540B"/>
    <w:rsid w:val="00A35F8C"/>
    <w:rsid w:val="00A42957"/>
    <w:rsid w:val="00A42F87"/>
    <w:rsid w:val="00A43E09"/>
    <w:rsid w:val="00A4469A"/>
    <w:rsid w:val="00A44AD6"/>
    <w:rsid w:val="00A44B66"/>
    <w:rsid w:val="00A46231"/>
    <w:rsid w:val="00A477BC"/>
    <w:rsid w:val="00A477FB"/>
    <w:rsid w:val="00A51408"/>
    <w:rsid w:val="00A51A2C"/>
    <w:rsid w:val="00A53137"/>
    <w:rsid w:val="00A55D13"/>
    <w:rsid w:val="00A5616C"/>
    <w:rsid w:val="00A5670D"/>
    <w:rsid w:val="00A57BB2"/>
    <w:rsid w:val="00A6026A"/>
    <w:rsid w:val="00A609E7"/>
    <w:rsid w:val="00A61D80"/>
    <w:rsid w:val="00A63859"/>
    <w:rsid w:val="00A63A14"/>
    <w:rsid w:val="00A63C26"/>
    <w:rsid w:val="00A64734"/>
    <w:rsid w:val="00A64BB6"/>
    <w:rsid w:val="00A66726"/>
    <w:rsid w:val="00A6700F"/>
    <w:rsid w:val="00A6774A"/>
    <w:rsid w:val="00A67B1B"/>
    <w:rsid w:val="00A70DA1"/>
    <w:rsid w:val="00A71243"/>
    <w:rsid w:val="00A71ED7"/>
    <w:rsid w:val="00A752CC"/>
    <w:rsid w:val="00A77534"/>
    <w:rsid w:val="00A802B9"/>
    <w:rsid w:val="00A80F71"/>
    <w:rsid w:val="00A813FD"/>
    <w:rsid w:val="00A81B1E"/>
    <w:rsid w:val="00A81CE2"/>
    <w:rsid w:val="00A82EA5"/>
    <w:rsid w:val="00A82FD2"/>
    <w:rsid w:val="00A84AFA"/>
    <w:rsid w:val="00A85417"/>
    <w:rsid w:val="00A855B5"/>
    <w:rsid w:val="00A85F7B"/>
    <w:rsid w:val="00A862D1"/>
    <w:rsid w:val="00A863F6"/>
    <w:rsid w:val="00A86B67"/>
    <w:rsid w:val="00A87C96"/>
    <w:rsid w:val="00A90419"/>
    <w:rsid w:val="00A9171E"/>
    <w:rsid w:val="00A92E88"/>
    <w:rsid w:val="00A933B1"/>
    <w:rsid w:val="00A94D57"/>
    <w:rsid w:val="00A96198"/>
    <w:rsid w:val="00A97730"/>
    <w:rsid w:val="00AA157C"/>
    <w:rsid w:val="00AA3E13"/>
    <w:rsid w:val="00AA3FB0"/>
    <w:rsid w:val="00AA4003"/>
    <w:rsid w:val="00AA4205"/>
    <w:rsid w:val="00AA5F71"/>
    <w:rsid w:val="00AA7525"/>
    <w:rsid w:val="00AB107C"/>
    <w:rsid w:val="00AB4B89"/>
    <w:rsid w:val="00AB4C46"/>
    <w:rsid w:val="00AB4EBD"/>
    <w:rsid w:val="00AB4FA7"/>
    <w:rsid w:val="00AB5914"/>
    <w:rsid w:val="00AB5AFC"/>
    <w:rsid w:val="00AB5F1C"/>
    <w:rsid w:val="00AB6AFF"/>
    <w:rsid w:val="00AC0193"/>
    <w:rsid w:val="00AC1FB2"/>
    <w:rsid w:val="00AC3B22"/>
    <w:rsid w:val="00AC4B62"/>
    <w:rsid w:val="00AC6223"/>
    <w:rsid w:val="00AC6D33"/>
    <w:rsid w:val="00AC7C99"/>
    <w:rsid w:val="00AD04B7"/>
    <w:rsid w:val="00AD0FB8"/>
    <w:rsid w:val="00AD11B7"/>
    <w:rsid w:val="00AD1A45"/>
    <w:rsid w:val="00AD2760"/>
    <w:rsid w:val="00AD3928"/>
    <w:rsid w:val="00AD3AA0"/>
    <w:rsid w:val="00AD484D"/>
    <w:rsid w:val="00AD4FF6"/>
    <w:rsid w:val="00AD6C36"/>
    <w:rsid w:val="00AD734B"/>
    <w:rsid w:val="00AD74C6"/>
    <w:rsid w:val="00AD7C73"/>
    <w:rsid w:val="00AE0C96"/>
    <w:rsid w:val="00AE5B59"/>
    <w:rsid w:val="00AE5F11"/>
    <w:rsid w:val="00AE6771"/>
    <w:rsid w:val="00AE6BB3"/>
    <w:rsid w:val="00AF07F5"/>
    <w:rsid w:val="00AF099C"/>
    <w:rsid w:val="00AF146A"/>
    <w:rsid w:val="00AF37E4"/>
    <w:rsid w:val="00AF3DB8"/>
    <w:rsid w:val="00AF4246"/>
    <w:rsid w:val="00AF46A0"/>
    <w:rsid w:val="00AF512B"/>
    <w:rsid w:val="00AF5701"/>
    <w:rsid w:val="00AF675F"/>
    <w:rsid w:val="00AF6C51"/>
    <w:rsid w:val="00AF7BDB"/>
    <w:rsid w:val="00B005D4"/>
    <w:rsid w:val="00B018D3"/>
    <w:rsid w:val="00B01A97"/>
    <w:rsid w:val="00B0295A"/>
    <w:rsid w:val="00B0310E"/>
    <w:rsid w:val="00B0463D"/>
    <w:rsid w:val="00B0476E"/>
    <w:rsid w:val="00B056A7"/>
    <w:rsid w:val="00B069E7"/>
    <w:rsid w:val="00B07A50"/>
    <w:rsid w:val="00B10055"/>
    <w:rsid w:val="00B10FE4"/>
    <w:rsid w:val="00B1134E"/>
    <w:rsid w:val="00B12174"/>
    <w:rsid w:val="00B13164"/>
    <w:rsid w:val="00B140D2"/>
    <w:rsid w:val="00B16194"/>
    <w:rsid w:val="00B163EE"/>
    <w:rsid w:val="00B16993"/>
    <w:rsid w:val="00B17805"/>
    <w:rsid w:val="00B17837"/>
    <w:rsid w:val="00B216CE"/>
    <w:rsid w:val="00B22E88"/>
    <w:rsid w:val="00B23A6A"/>
    <w:rsid w:val="00B24BFE"/>
    <w:rsid w:val="00B25AEA"/>
    <w:rsid w:val="00B273B7"/>
    <w:rsid w:val="00B30749"/>
    <w:rsid w:val="00B30B1A"/>
    <w:rsid w:val="00B31508"/>
    <w:rsid w:val="00B32B48"/>
    <w:rsid w:val="00B34ED7"/>
    <w:rsid w:val="00B36C69"/>
    <w:rsid w:val="00B37C8A"/>
    <w:rsid w:val="00B4315B"/>
    <w:rsid w:val="00B4592A"/>
    <w:rsid w:val="00B45E5F"/>
    <w:rsid w:val="00B45EE5"/>
    <w:rsid w:val="00B46DA7"/>
    <w:rsid w:val="00B474EF"/>
    <w:rsid w:val="00B4773F"/>
    <w:rsid w:val="00B505AF"/>
    <w:rsid w:val="00B51B12"/>
    <w:rsid w:val="00B52C15"/>
    <w:rsid w:val="00B52CE3"/>
    <w:rsid w:val="00B532E5"/>
    <w:rsid w:val="00B55854"/>
    <w:rsid w:val="00B55892"/>
    <w:rsid w:val="00B55DF9"/>
    <w:rsid w:val="00B56085"/>
    <w:rsid w:val="00B56E67"/>
    <w:rsid w:val="00B56EAA"/>
    <w:rsid w:val="00B574DF"/>
    <w:rsid w:val="00B57656"/>
    <w:rsid w:val="00B57B6A"/>
    <w:rsid w:val="00B61023"/>
    <w:rsid w:val="00B621E0"/>
    <w:rsid w:val="00B6366C"/>
    <w:rsid w:val="00B65369"/>
    <w:rsid w:val="00B668ED"/>
    <w:rsid w:val="00B66984"/>
    <w:rsid w:val="00B712EE"/>
    <w:rsid w:val="00B71AA2"/>
    <w:rsid w:val="00B7221E"/>
    <w:rsid w:val="00B723C5"/>
    <w:rsid w:val="00B75757"/>
    <w:rsid w:val="00B76DCB"/>
    <w:rsid w:val="00B77AE2"/>
    <w:rsid w:val="00B800B9"/>
    <w:rsid w:val="00B81458"/>
    <w:rsid w:val="00B81F9A"/>
    <w:rsid w:val="00B81FD0"/>
    <w:rsid w:val="00B83860"/>
    <w:rsid w:val="00B83D9B"/>
    <w:rsid w:val="00B85197"/>
    <w:rsid w:val="00B87093"/>
    <w:rsid w:val="00B90EC8"/>
    <w:rsid w:val="00B92472"/>
    <w:rsid w:val="00B92E3F"/>
    <w:rsid w:val="00B933E4"/>
    <w:rsid w:val="00B93BD6"/>
    <w:rsid w:val="00B97ADD"/>
    <w:rsid w:val="00BA09FE"/>
    <w:rsid w:val="00BA10C1"/>
    <w:rsid w:val="00BA146B"/>
    <w:rsid w:val="00BA1975"/>
    <w:rsid w:val="00BA1CA0"/>
    <w:rsid w:val="00BA2706"/>
    <w:rsid w:val="00BA3173"/>
    <w:rsid w:val="00BA3D59"/>
    <w:rsid w:val="00BA4C39"/>
    <w:rsid w:val="00BA4FB9"/>
    <w:rsid w:val="00BA5235"/>
    <w:rsid w:val="00BA6733"/>
    <w:rsid w:val="00BA6B37"/>
    <w:rsid w:val="00BB26DC"/>
    <w:rsid w:val="00BB4B1D"/>
    <w:rsid w:val="00BB4C1C"/>
    <w:rsid w:val="00BB65C2"/>
    <w:rsid w:val="00BB712E"/>
    <w:rsid w:val="00BB7869"/>
    <w:rsid w:val="00BC02E6"/>
    <w:rsid w:val="00BC12CB"/>
    <w:rsid w:val="00BC2418"/>
    <w:rsid w:val="00BC28A7"/>
    <w:rsid w:val="00BC4957"/>
    <w:rsid w:val="00BC6B46"/>
    <w:rsid w:val="00BD04B7"/>
    <w:rsid w:val="00BD04E4"/>
    <w:rsid w:val="00BD234E"/>
    <w:rsid w:val="00BD3B0E"/>
    <w:rsid w:val="00BD42AC"/>
    <w:rsid w:val="00BD6616"/>
    <w:rsid w:val="00BD6C21"/>
    <w:rsid w:val="00BD7414"/>
    <w:rsid w:val="00BE0195"/>
    <w:rsid w:val="00BE193E"/>
    <w:rsid w:val="00BE2563"/>
    <w:rsid w:val="00BE3664"/>
    <w:rsid w:val="00BE3F19"/>
    <w:rsid w:val="00BE6159"/>
    <w:rsid w:val="00BE63D3"/>
    <w:rsid w:val="00BE70AA"/>
    <w:rsid w:val="00BF0FAA"/>
    <w:rsid w:val="00BF1354"/>
    <w:rsid w:val="00BF17DA"/>
    <w:rsid w:val="00BF18BA"/>
    <w:rsid w:val="00BF210F"/>
    <w:rsid w:val="00BF530D"/>
    <w:rsid w:val="00BF61FE"/>
    <w:rsid w:val="00BF7793"/>
    <w:rsid w:val="00C0080C"/>
    <w:rsid w:val="00C00998"/>
    <w:rsid w:val="00C00D30"/>
    <w:rsid w:val="00C01B3D"/>
    <w:rsid w:val="00C02BC0"/>
    <w:rsid w:val="00C07783"/>
    <w:rsid w:val="00C10066"/>
    <w:rsid w:val="00C1289A"/>
    <w:rsid w:val="00C12D5F"/>
    <w:rsid w:val="00C132C6"/>
    <w:rsid w:val="00C1622F"/>
    <w:rsid w:val="00C17905"/>
    <w:rsid w:val="00C206BC"/>
    <w:rsid w:val="00C2088C"/>
    <w:rsid w:val="00C21746"/>
    <w:rsid w:val="00C22403"/>
    <w:rsid w:val="00C22C8D"/>
    <w:rsid w:val="00C22D59"/>
    <w:rsid w:val="00C23CEC"/>
    <w:rsid w:val="00C23F42"/>
    <w:rsid w:val="00C2556E"/>
    <w:rsid w:val="00C2572D"/>
    <w:rsid w:val="00C260B2"/>
    <w:rsid w:val="00C274F3"/>
    <w:rsid w:val="00C27940"/>
    <w:rsid w:val="00C27D90"/>
    <w:rsid w:val="00C30FA2"/>
    <w:rsid w:val="00C32F22"/>
    <w:rsid w:val="00C330B2"/>
    <w:rsid w:val="00C33643"/>
    <w:rsid w:val="00C33D1F"/>
    <w:rsid w:val="00C34970"/>
    <w:rsid w:val="00C34CBE"/>
    <w:rsid w:val="00C351E4"/>
    <w:rsid w:val="00C35D1B"/>
    <w:rsid w:val="00C36D09"/>
    <w:rsid w:val="00C37072"/>
    <w:rsid w:val="00C41357"/>
    <w:rsid w:val="00C4342B"/>
    <w:rsid w:val="00C443ED"/>
    <w:rsid w:val="00C44A40"/>
    <w:rsid w:val="00C450A3"/>
    <w:rsid w:val="00C46586"/>
    <w:rsid w:val="00C47746"/>
    <w:rsid w:val="00C5036E"/>
    <w:rsid w:val="00C5074A"/>
    <w:rsid w:val="00C50907"/>
    <w:rsid w:val="00C514CB"/>
    <w:rsid w:val="00C526FB"/>
    <w:rsid w:val="00C52CC8"/>
    <w:rsid w:val="00C53C38"/>
    <w:rsid w:val="00C53FC8"/>
    <w:rsid w:val="00C600D4"/>
    <w:rsid w:val="00C61A96"/>
    <w:rsid w:val="00C63257"/>
    <w:rsid w:val="00C67677"/>
    <w:rsid w:val="00C70FA0"/>
    <w:rsid w:val="00C71D58"/>
    <w:rsid w:val="00C7263D"/>
    <w:rsid w:val="00C73414"/>
    <w:rsid w:val="00C7342E"/>
    <w:rsid w:val="00C73777"/>
    <w:rsid w:val="00C73E5A"/>
    <w:rsid w:val="00C7479C"/>
    <w:rsid w:val="00C74828"/>
    <w:rsid w:val="00C74DA8"/>
    <w:rsid w:val="00C7588D"/>
    <w:rsid w:val="00C7615B"/>
    <w:rsid w:val="00C76365"/>
    <w:rsid w:val="00C7682F"/>
    <w:rsid w:val="00C771B8"/>
    <w:rsid w:val="00C775E1"/>
    <w:rsid w:val="00C7791C"/>
    <w:rsid w:val="00C77D09"/>
    <w:rsid w:val="00C80073"/>
    <w:rsid w:val="00C80FA7"/>
    <w:rsid w:val="00C81754"/>
    <w:rsid w:val="00C81FCB"/>
    <w:rsid w:val="00C82CDF"/>
    <w:rsid w:val="00C837D4"/>
    <w:rsid w:val="00C838EE"/>
    <w:rsid w:val="00C86F24"/>
    <w:rsid w:val="00C90289"/>
    <w:rsid w:val="00C90734"/>
    <w:rsid w:val="00C92A14"/>
    <w:rsid w:val="00C92F88"/>
    <w:rsid w:val="00C941D3"/>
    <w:rsid w:val="00C952B1"/>
    <w:rsid w:val="00C96967"/>
    <w:rsid w:val="00C9751F"/>
    <w:rsid w:val="00C97AC7"/>
    <w:rsid w:val="00CA1222"/>
    <w:rsid w:val="00CA1844"/>
    <w:rsid w:val="00CA28FE"/>
    <w:rsid w:val="00CA2E82"/>
    <w:rsid w:val="00CA3D17"/>
    <w:rsid w:val="00CA4C4C"/>
    <w:rsid w:val="00CA732A"/>
    <w:rsid w:val="00CB078E"/>
    <w:rsid w:val="00CB1318"/>
    <w:rsid w:val="00CB30B5"/>
    <w:rsid w:val="00CB4F78"/>
    <w:rsid w:val="00CB5C33"/>
    <w:rsid w:val="00CB766A"/>
    <w:rsid w:val="00CB7974"/>
    <w:rsid w:val="00CC13F1"/>
    <w:rsid w:val="00CC2E16"/>
    <w:rsid w:val="00CC3ECE"/>
    <w:rsid w:val="00CC4CE5"/>
    <w:rsid w:val="00CC583E"/>
    <w:rsid w:val="00CC6CD5"/>
    <w:rsid w:val="00CC6F63"/>
    <w:rsid w:val="00CD0213"/>
    <w:rsid w:val="00CD17B6"/>
    <w:rsid w:val="00CD2415"/>
    <w:rsid w:val="00CD37F8"/>
    <w:rsid w:val="00CD39CF"/>
    <w:rsid w:val="00CD46CC"/>
    <w:rsid w:val="00CD51BD"/>
    <w:rsid w:val="00CD52B2"/>
    <w:rsid w:val="00CD5806"/>
    <w:rsid w:val="00CD5960"/>
    <w:rsid w:val="00CD6548"/>
    <w:rsid w:val="00CD69C7"/>
    <w:rsid w:val="00CD7331"/>
    <w:rsid w:val="00CE0F00"/>
    <w:rsid w:val="00CE1088"/>
    <w:rsid w:val="00CE1A16"/>
    <w:rsid w:val="00CE1D0A"/>
    <w:rsid w:val="00CE4D6F"/>
    <w:rsid w:val="00CE5BC9"/>
    <w:rsid w:val="00CE5EC1"/>
    <w:rsid w:val="00CE6639"/>
    <w:rsid w:val="00CF0494"/>
    <w:rsid w:val="00CF1201"/>
    <w:rsid w:val="00CF1290"/>
    <w:rsid w:val="00CF17E9"/>
    <w:rsid w:val="00CF2FDA"/>
    <w:rsid w:val="00CF42C7"/>
    <w:rsid w:val="00CF70A3"/>
    <w:rsid w:val="00D05320"/>
    <w:rsid w:val="00D0770F"/>
    <w:rsid w:val="00D07ED4"/>
    <w:rsid w:val="00D1229D"/>
    <w:rsid w:val="00D141AE"/>
    <w:rsid w:val="00D14814"/>
    <w:rsid w:val="00D14BF5"/>
    <w:rsid w:val="00D14D89"/>
    <w:rsid w:val="00D14FB2"/>
    <w:rsid w:val="00D175E4"/>
    <w:rsid w:val="00D17A68"/>
    <w:rsid w:val="00D20257"/>
    <w:rsid w:val="00D20D48"/>
    <w:rsid w:val="00D22371"/>
    <w:rsid w:val="00D2396B"/>
    <w:rsid w:val="00D23B47"/>
    <w:rsid w:val="00D24EA9"/>
    <w:rsid w:val="00D250F6"/>
    <w:rsid w:val="00D27D43"/>
    <w:rsid w:val="00D27DB0"/>
    <w:rsid w:val="00D27F48"/>
    <w:rsid w:val="00D27FBB"/>
    <w:rsid w:val="00D30682"/>
    <w:rsid w:val="00D33B81"/>
    <w:rsid w:val="00D3483C"/>
    <w:rsid w:val="00D34AC7"/>
    <w:rsid w:val="00D34DF6"/>
    <w:rsid w:val="00D35404"/>
    <w:rsid w:val="00D3556C"/>
    <w:rsid w:val="00D35B96"/>
    <w:rsid w:val="00D36EBE"/>
    <w:rsid w:val="00D41944"/>
    <w:rsid w:val="00D41BCA"/>
    <w:rsid w:val="00D45240"/>
    <w:rsid w:val="00D45473"/>
    <w:rsid w:val="00D456E1"/>
    <w:rsid w:val="00D45DD0"/>
    <w:rsid w:val="00D45E99"/>
    <w:rsid w:val="00D461B5"/>
    <w:rsid w:val="00D46378"/>
    <w:rsid w:val="00D46AC3"/>
    <w:rsid w:val="00D47125"/>
    <w:rsid w:val="00D4792C"/>
    <w:rsid w:val="00D5045A"/>
    <w:rsid w:val="00D537D8"/>
    <w:rsid w:val="00D547AE"/>
    <w:rsid w:val="00D54A67"/>
    <w:rsid w:val="00D54B54"/>
    <w:rsid w:val="00D5554E"/>
    <w:rsid w:val="00D5655C"/>
    <w:rsid w:val="00D56C33"/>
    <w:rsid w:val="00D57245"/>
    <w:rsid w:val="00D5791A"/>
    <w:rsid w:val="00D618EE"/>
    <w:rsid w:val="00D62747"/>
    <w:rsid w:val="00D64329"/>
    <w:rsid w:val="00D644A0"/>
    <w:rsid w:val="00D66553"/>
    <w:rsid w:val="00D70547"/>
    <w:rsid w:val="00D70B39"/>
    <w:rsid w:val="00D7238F"/>
    <w:rsid w:val="00D7262A"/>
    <w:rsid w:val="00D72C13"/>
    <w:rsid w:val="00D72DB2"/>
    <w:rsid w:val="00D73443"/>
    <w:rsid w:val="00D76B31"/>
    <w:rsid w:val="00D76DF4"/>
    <w:rsid w:val="00D7739F"/>
    <w:rsid w:val="00D80CF0"/>
    <w:rsid w:val="00D81264"/>
    <w:rsid w:val="00D8304F"/>
    <w:rsid w:val="00D83CD3"/>
    <w:rsid w:val="00D853A7"/>
    <w:rsid w:val="00D86162"/>
    <w:rsid w:val="00D86638"/>
    <w:rsid w:val="00D87978"/>
    <w:rsid w:val="00D918DB"/>
    <w:rsid w:val="00D92034"/>
    <w:rsid w:val="00D92079"/>
    <w:rsid w:val="00D92686"/>
    <w:rsid w:val="00D929F6"/>
    <w:rsid w:val="00D92B1B"/>
    <w:rsid w:val="00D949B8"/>
    <w:rsid w:val="00D94B39"/>
    <w:rsid w:val="00D972CF"/>
    <w:rsid w:val="00DA296D"/>
    <w:rsid w:val="00DA29C3"/>
    <w:rsid w:val="00DA3AD3"/>
    <w:rsid w:val="00DA3AD6"/>
    <w:rsid w:val="00DA3CC6"/>
    <w:rsid w:val="00DA3D68"/>
    <w:rsid w:val="00DA5359"/>
    <w:rsid w:val="00DA5E85"/>
    <w:rsid w:val="00DA60BE"/>
    <w:rsid w:val="00DB0A5B"/>
    <w:rsid w:val="00DB0C8B"/>
    <w:rsid w:val="00DB1FFD"/>
    <w:rsid w:val="00DB515A"/>
    <w:rsid w:val="00DB540D"/>
    <w:rsid w:val="00DB6489"/>
    <w:rsid w:val="00DB74DB"/>
    <w:rsid w:val="00DB7FA1"/>
    <w:rsid w:val="00DC0C03"/>
    <w:rsid w:val="00DC2092"/>
    <w:rsid w:val="00DC2213"/>
    <w:rsid w:val="00DC230C"/>
    <w:rsid w:val="00DC2DAB"/>
    <w:rsid w:val="00DC4493"/>
    <w:rsid w:val="00DC4BE0"/>
    <w:rsid w:val="00DC5AC7"/>
    <w:rsid w:val="00DC6184"/>
    <w:rsid w:val="00DC6E5D"/>
    <w:rsid w:val="00DC75B9"/>
    <w:rsid w:val="00DD0644"/>
    <w:rsid w:val="00DD0EB0"/>
    <w:rsid w:val="00DD1206"/>
    <w:rsid w:val="00DD4921"/>
    <w:rsid w:val="00DD56E1"/>
    <w:rsid w:val="00DD5C61"/>
    <w:rsid w:val="00DD6A01"/>
    <w:rsid w:val="00DD6BE9"/>
    <w:rsid w:val="00DD7CDE"/>
    <w:rsid w:val="00DE05C8"/>
    <w:rsid w:val="00DE0964"/>
    <w:rsid w:val="00DE21E1"/>
    <w:rsid w:val="00DE23F8"/>
    <w:rsid w:val="00DE28CC"/>
    <w:rsid w:val="00DE5B6A"/>
    <w:rsid w:val="00DE63F4"/>
    <w:rsid w:val="00DE687F"/>
    <w:rsid w:val="00DF0B7E"/>
    <w:rsid w:val="00DF1568"/>
    <w:rsid w:val="00DF2B93"/>
    <w:rsid w:val="00DF427E"/>
    <w:rsid w:val="00DF480F"/>
    <w:rsid w:val="00E0017E"/>
    <w:rsid w:val="00E01021"/>
    <w:rsid w:val="00E01740"/>
    <w:rsid w:val="00E0279E"/>
    <w:rsid w:val="00E0301D"/>
    <w:rsid w:val="00E0382F"/>
    <w:rsid w:val="00E039B2"/>
    <w:rsid w:val="00E0523B"/>
    <w:rsid w:val="00E06A16"/>
    <w:rsid w:val="00E10DD7"/>
    <w:rsid w:val="00E1330A"/>
    <w:rsid w:val="00E1628B"/>
    <w:rsid w:val="00E1674F"/>
    <w:rsid w:val="00E17F8D"/>
    <w:rsid w:val="00E203C9"/>
    <w:rsid w:val="00E20C92"/>
    <w:rsid w:val="00E20FE5"/>
    <w:rsid w:val="00E21836"/>
    <w:rsid w:val="00E21AE9"/>
    <w:rsid w:val="00E22B46"/>
    <w:rsid w:val="00E23535"/>
    <w:rsid w:val="00E25866"/>
    <w:rsid w:val="00E25D75"/>
    <w:rsid w:val="00E26476"/>
    <w:rsid w:val="00E265DD"/>
    <w:rsid w:val="00E278A7"/>
    <w:rsid w:val="00E31135"/>
    <w:rsid w:val="00E31787"/>
    <w:rsid w:val="00E31B6D"/>
    <w:rsid w:val="00E345AB"/>
    <w:rsid w:val="00E345FA"/>
    <w:rsid w:val="00E34D30"/>
    <w:rsid w:val="00E357AE"/>
    <w:rsid w:val="00E37443"/>
    <w:rsid w:val="00E3769B"/>
    <w:rsid w:val="00E40ED9"/>
    <w:rsid w:val="00E42E93"/>
    <w:rsid w:val="00E42EDB"/>
    <w:rsid w:val="00E430CF"/>
    <w:rsid w:val="00E43DA1"/>
    <w:rsid w:val="00E44C54"/>
    <w:rsid w:val="00E460E6"/>
    <w:rsid w:val="00E4763B"/>
    <w:rsid w:val="00E477D1"/>
    <w:rsid w:val="00E513A9"/>
    <w:rsid w:val="00E51527"/>
    <w:rsid w:val="00E51AE0"/>
    <w:rsid w:val="00E51F37"/>
    <w:rsid w:val="00E537F7"/>
    <w:rsid w:val="00E555C6"/>
    <w:rsid w:val="00E5686D"/>
    <w:rsid w:val="00E56D84"/>
    <w:rsid w:val="00E57245"/>
    <w:rsid w:val="00E60143"/>
    <w:rsid w:val="00E61D03"/>
    <w:rsid w:val="00E67236"/>
    <w:rsid w:val="00E711A1"/>
    <w:rsid w:val="00E7230E"/>
    <w:rsid w:val="00E744E9"/>
    <w:rsid w:val="00E770A2"/>
    <w:rsid w:val="00E80338"/>
    <w:rsid w:val="00E80479"/>
    <w:rsid w:val="00E806D9"/>
    <w:rsid w:val="00E8307D"/>
    <w:rsid w:val="00E83A50"/>
    <w:rsid w:val="00E8449D"/>
    <w:rsid w:val="00E8658B"/>
    <w:rsid w:val="00E866CC"/>
    <w:rsid w:val="00E907CF"/>
    <w:rsid w:val="00E91797"/>
    <w:rsid w:val="00E91E71"/>
    <w:rsid w:val="00E92A0D"/>
    <w:rsid w:val="00E94832"/>
    <w:rsid w:val="00E961F4"/>
    <w:rsid w:val="00E96896"/>
    <w:rsid w:val="00E968FE"/>
    <w:rsid w:val="00E97D77"/>
    <w:rsid w:val="00EA1407"/>
    <w:rsid w:val="00EA2758"/>
    <w:rsid w:val="00EA40E6"/>
    <w:rsid w:val="00EA41FA"/>
    <w:rsid w:val="00EA5EFE"/>
    <w:rsid w:val="00EA6716"/>
    <w:rsid w:val="00EB136D"/>
    <w:rsid w:val="00EB14A1"/>
    <w:rsid w:val="00EB1BE9"/>
    <w:rsid w:val="00EB219E"/>
    <w:rsid w:val="00EB2A08"/>
    <w:rsid w:val="00EB3338"/>
    <w:rsid w:val="00EB5204"/>
    <w:rsid w:val="00EB7062"/>
    <w:rsid w:val="00EB794C"/>
    <w:rsid w:val="00EC0F8A"/>
    <w:rsid w:val="00EC1D03"/>
    <w:rsid w:val="00EC1E34"/>
    <w:rsid w:val="00EC2E2B"/>
    <w:rsid w:val="00EC36EF"/>
    <w:rsid w:val="00EC3B7D"/>
    <w:rsid w:val="00EC47F9"/>
    <w:rsid w:val="00EC4AF0"/>
    <w:rsid w:val="00EC5025"/>
    <w:rsid w:val="00EC6ADC"/>
    <w:rsid w:val="00EC6E4C"/>
    <w:rsid w:val="00ED1366"/>
    <w:rsid w:val="00ED189D"/>
    <w:rsid w:val="00ED2092"/>
    <w:rsid w:val="00ED26D5"/>
    <w:rsid w:val="00ED3572"/>
    <w:rsid w:val="00ED3E7C"/>
    <w:rsid w:val="00ED46EF"/>
    <w:rsid w:val="00ED71EB"/>
    <w:rsid w:val="00ED7524"/>
    <w:rsid w:val="00ED7538"/>
    <w:rsid w:val="00ED7DBF"/>
    <w:rsid w:val="00EE2655"/>
    <w:rsid w:val="00EE2D45"/>
    <w:rsid w:val="00EE3D91"/>
    <w:rsid w:val="00EE5538"/>
    <w:rsid w:val="00EE6FF8"/>
    <w:rsid w:val="00EF0515"/>
    <w:rsid w:val="00EF3BE6"/>
    <w:rsid w:val="00EF3FA4"/>
    <w:rsid w:val="00EF53B0"/>
    <w:rsid w:val="00EF5C52"/>
    <w:rsid w:val="00EF6645"/>
    <w:rsid w:val="00F00FF8"/>
    <w:rsid w:val="00F014D0"/>
    <w:rsid w:val="00F03562"/>
    <w:rsid w:val="00F036F3"/>
    <w:rsid w:val="00F0462A"/>
    <w:rsid w:val="00F04707"/>
    <w:rsid w:val="00F050FB"/>
    <w:rsid w:val="00F052BC"/>
    <w:rsid w:val="00F059E6"/>
    <w:rsid w:val="00F05DF5"/>
    <w:rsid w:val="00F07123"/>
    <w:rsid w:val="00F121EB"/>
    <w:rsid w:val="00F1348B"/>
    <w:rsid w:val="00F142FF"/>
    <w:rsid w:val="00F15AED"/>
    <w:rsid w:val="00F167D6"/>
    <w:rsid w:val="00F17B21"/>
    <w:rsid w:val="00F17CF1"/>
    <w:rsid w:val="00F20A7A"/>
    <w:rsid w:val="00F21768"/>
    <w:rsid w:val="00F23810"/>
    <w:rsid w:val="00F24A1C"/>
    <w:rsid w:val="00F253D7"/>
    <w:rsid w:val="00F258BE"/>
    <w:rsid w:val="00F25C82"/>
    <w:rsid w:val="00F25F57"/>
    <w:rsid w:val="00F2776A"/>
    <w:rsid w:val="00F27A97"/>
    <w:rsid w:val="00F30316"/>
    <w:rsid w:val="00F305B4"/>
    <w:rsid w:val="00F30B65"/>
    <w:rsid w:val="00F31046"/>
    <w:rsid w:val="00F3228D"/>
    <w:rsid w:val="00F322C9"/>
    <w:rsid w:val="00F340DD"/>
    <w:rsid w:val="00F341B1"/>
    <w:rsid w:val="00F34275"/>
    <w:rsid w:val="00F3573A"/>
    <w:rsid w:val="00F359B0"/>
    <w:rsid w:val="00F3630D"/>
    <w:rsid w:val="00F36C05"/>
    <w:rsid w:val="00F40B75"/>
    <w:rsid w:val="00F4128B"/>
    <w:rsid w:val="00F42939"/>
    <w:rsid w:val="00F42ECB"/>
    <w:rsid w:val="00F445B5"/>
    <w:rsid w:val="00F4497A"/>
    <w:rsid w:val="00F457A5"/>
    <w:rsid w:val="00F467E9"/>
    <w:rsid w:val="00F50377"/>
    <w:rsid w:val="00F506B1"/>
    <w:rsid w:val="00F50823"/>
    <w:rsid w:val="00F52457"/>
    <w:rsid w:val="00F5368C"/>
    <w:rsid w:val="00F55001"/>
    <w:rsid w:val="00F55116"/>
    <w:rsid w:val="00F60613"/>
    <w:rsid w:val="00F60D19"/>
    <w:rsid w:val="00F60D88"/>
    <w:rsid w:val="00F616DE"/>
    <w:rsid w:val="00F61D98"/>
    <w:rsid w:val="00F63CBF"/>
    <w:rsid w:val="00F64A92"/>
    <w:rsid w:val="00F65064"/>
    <w:rsid w:val="00F65403"/>
    <w:rsid w:val="00F66DAF"/>
    <w:rsid w:val="00F674D2"/>
    <w:rsid w:val="00F7058E"/>
    <w:rsid w:val="00F70985"/>
    <w:rsid w:val="00F70B9C"/>
    <w:rsid w:val="00F71284"/>
    <w:rsid w:val="00F71E64"/>
    <w:rsid w:val="00F72E3F"/>
    <w:rsid w:val="00F74B0D"/>
    <w:rsid w:val="00F74BAE"/>
    <w:rsid w:val="00F75B2E"/>
    <w:rsid w:val="00F75BE6"/>
    <w:rsid w:val="00F767D7"/>
    <w:rsid w:val="00F773C3"/>
    <w:rsid w:val="00F8003A"/>
    <w:rsid w:val="00F810C0"/>
    <w:rsid w:val="00F81E89"/>
    <w:rsid w:val="00F838E1"/>
    <w:rsid w:val="00F849AB"/>
    <w:rsid w:val="00F85814"/>
    <w:rsid w:val="00F87592"/>
    <w:rsid w:val="00F9078F"/>
    <w:rsid w:val="00F90F98"/>
    <w:rsid w:val="00F919C4"/>
    <w:rsid w:val="00F923E0"/>
    <w:rsid w:val="00F94CA5"/>
    <w:rsid w:val="00F94D93"/>
    <w:rsid w:val="00F964A6"/>
    <w:rsid w:val="00F97F6B"/>
    <w:rsid w:val="00FA1A56"/>
    <w:rsid w:val="00FA2691"/>
    <w:rsid w:val="00FA2F1D"/>
    <w:rsid w:val="00FA3D78"/>
    <w:rsid w:val="00FA44E8"/>
    <w:rsid w:val="00FA480F"/>
    <w:rsid w:val="00FA4C12"/>
    <w:rsid w:val="00FA505B"/>
    <w:rsid w:val="00FA652B"/>
    <w:rsid w:val="00FA6632"/>
    <w:rsid w:val="00FB02D6"/>
    <w:rsid w:val="00FB149A"/>
    <w:rsid w:val="00FB1EE5"/>
    <w:rsid w:val="00FB3988"/>
    <w:rsid w:val="00FB7132"/>
    <w:rsid w:val="00FC0373"/>
    <w:rsid w:val="00FC0BC2"/>
    <w:rsid w:val="00FC265E"/>
    <w:rsid w:val="00FC4155"/>
    <w:rsid w:val="00FC4E87"/>
    <w:rsid w:val="00FC6889"/>
    <w:rsid w:val="00FC7530"/>
    <w:rsid w:val="00FD048C"/>
    <w:rsid w:val="00FD0530"/>
    <w:rsid w:val="00FD0EA0"/>
    <w:rsid w:val="00FD0F11"/>
    <w:rsid w:val="00FD30BE"/>
    <w:rsid w:val="00FD445E"/>
    <w:rsid w:val="00FD44F9"/>
    <w:rsid w:val="00FD464E"/>
    <w:rsid w:val="00FD5C68"/>
    <w:rsid w:val="00FD668E"/>
    <w:rsid w:val="00FD7DA0"/>
    <w:rsid w:val="00FE21EE"/>
    <w:rsid w:val="00FE2707"/>
    <w:rsid w:val="00FE2715"/>
    <w:rsid w:val="00FE378E"/>
    <w:rsid w:val="00FE422D"/>
    <w:rsid w:val="00FE5EC6"/>
    <w:rsid w:val="00FE74D7"/>
    <w:rsid w:val="00FF190F"/>
    <w:rsid w:val="00FF1AB6"/>
    <w:rsid w:val="00FF2B43"/>
    <w:rsid w:val="00FF2CB2"/>
    <w:rsid w:val="00FF3EB3"/>
    <w:rsid w:val="00FF3FA5"/>
    <w:rsid w:val="00FF424D"/>
    <w:rsid w:val="00FF6EC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20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F18"/>
    <w:pPr>
      <w:jc w:val="both"/>
      <w:outlineLvl w:val="0"/>
    </w:pPr>
    <w:rPr>
      <w:b/>
    </w:rPr>
  </w:style>
  <w:style w:type="paragraph" w:styleId="Heading2">
    <w:name w:val="heading 2"/>
    <w:basedOn w:val="Normal"/>
    <w:next w:val="Normal"/>
    <w:link w:val="Heading2Char"/>
    <w:uiPriority w:val="9"/>
    <w:unhideWhenUsed/>
    <w:qFormat/>
    <w:rsid w:val="00BE0195"/>
    <w:pPr>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63A75"/>
    <w:pPr>
      <w:spacing w:after="0" w:line="240" w:lineRule="auto"/>
    </w:pPr>
    <w:rPr>
      <w:sz w:val="20"/>
      <w:szCs w:val="20"/>
    </w:rPr>
  </w:style>
  <w:style w:type="character" w:customStyle="1" w:styleId="FootnoteTextChar">
    <w:name w:val="Footnote Text Char"/>
    <w:basedOn w:val="DefaultParagraphFont"/>
    <w:link w:val="FootnoteText"/>
    <w:uiPriority w:val="99"/>
    <w:rsid w:val="00963A75"/>
    <w:rPr>
      <w:sz w:val="20"/>
      <w:szCs w:val="20"/>
    </w:rPr>
  </w:style>
  <w:style w:type="character" w:styleId="FootnoteReference">
    <w:name w:val="footnote reference"/>
    <w:basedOn w:val="DefaultParagraphFont"/>
    <w:uiPriority w:val="99"/>
    <w:unhideWhenUsed/>
    <w:rsid w:val="00963A75"/>
    <w:rPr>
      <w:vertAlign w:val="superscript"/>
    </w:rPr>
  </w:style>
  <w:style w:type="paragraph" w:styleId="ListParagraph">
    <w:name w:val="List Paragraph"/>
    <w:basedOn w:val="Normal"/>
    <w:uiPriority w:val="34"/>
    <w:qFormat/>
    <w:rsid w:val="001223EA"/>
    <w:pPr>
      <w:ind w:left="720"/>
      <w:contextualSpacing/>
    </w:pPr>
  </w:style>
  <w:style w:type="character" w:styleId="Hyperlink">
    <w:name w:val="Hyperlink"/>
    <w:basedOn w:val="DefaultParagraphFont"/>
    <w:uiPriority w:val="99"/>
    <w:unhideWhenUsed/>
    <w:rsid w:val="00C80073"/>
    <w:rPr>
      <w:color w:val="0563C1" w:themeColor="hyperlink"/>
      <w:u w:val="single"/>
    </w:rPr>
  </w:style>
  <w:style w:type="paragraph" w:styleId="NormalWeb">
    <w:name w:val="Normal (Web)"/>
    <w:basedOn w:val="Normal"/>
    <w:uiPriority w:val="99"/>
    <w:rsid w:val="00083608"/>
    <w:pPr>
      <w:spacing w:beforeLines="1" w:afterLines="1" w:after="200" w:line="240" w:lineRule="auto"/>
    </w:pPr>
    <w:rPr>
      <w:rFonts w:ascii="Times" w:hAnsi="Times" w:cs="Times New Roman"/>
      <w:sz w:val="20"/>
      <w:szCs w:val="20"/>
      <w:lang w:val="es-ES_tradnl" w:eastAsia="es-ES_tradnl"/>
    </w:rPr>
  </w:style>
  <w:style w:type="paragraph" w:styleId="Footer">
    <w:name w:val="footer"/>
    <w:basedOn w:val="Normal"/>
    <w:link w:val="FooterChar"/>
    <w:uiPriority w:val="99"/>
    <w:unhideWhenUsed/>
    <w:rsid w:val="00E91E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1E71"/>
  </w:style>
  <w:style w:type="character" w:styleId="PageNumber">
    <w:name w:val="page number"/>
    <w:basedOn w:val="DefaultParagraphFont"/>
    <w:uiPriority w:val="99"/>
    <w:semiHidden/>
    <w:unhideWhenUsed/>
    <w:rsid w:val="00E91E71"/>
  </w:style>
  <w:style w:type="paragraph" w:styleId="Header">
    <w:name w:val="header"/>
    <w:basedOn w:val="Normal"/>
    <w:link w:val="HeaderChar"/>
    <w:uiPriority w:val="99"/>
    <w:unhideWhenUsed/>
    <w:rsid w:val="00A67B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7B1B"/>
  </w:style>
  <w:style w:type="character" w:customStyle="1" w:styleId="apple-converted-space">
    <w:name w:val="apple-converted-space"/>
    <w:basedOn w:val="DefaultParagraphFont"/>
    <w:rsid w:val="00AA5F71"/>
  </w:style>
  <w:style w:type="character" w:styleId="FollowedHyperlink">
    <w:name w:val="FollowedHyperlink"/>
    <w:basedOn w:val="DefaultParagraphFont"/>
    <w:uiPriority w:val="99"/>
    <w:semiHidden/>
    <w:unhideWhenUsed/>
    <w:rsid w:val="00847A09"/>
    <w:rPr>
      <w:color w:val="954F72" w:themeColor="followedHyperlink"/>
      <w:u w:val="single"/>
    </w:rPr>
  </w:style>
  <w:style w:type="paragraph" w:styleId="BalloonText">
    <w:name w:val="Balloon Text"/>
    <w:basedOn w:val="Normal"/>
    <w:link w:val="BalloonTextChar"/>
    <w:uiPriority w:val="99"/>
    <w:semiHidden/>
    <w:unhideWhenUsed/>
    <w:rsid w:val="00B13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164"/>
    <w:rPr>
      <w:rFonts w:ascii="Segoe UI" w:hAnsi="Segoe UI" w:cs="Segoe UI"/>
      <w:sz w:val="18"/>
      <w:szCs w:val="18"/>
    </w:rPr>
  </w:style>
  <w:style w:type="character" w:styleId="SubtleReference">
    <w:name w:val="Subtle Reference"/>
    <w:basedOn w:val="DefaultParagraphFont"/>
    <w:uiPriority w:val="31"/>
    <w:qFormat/>
    <w:rsid w:val="0059062E"/>
    <w:rPr>
      <w:smallCaps/>
      <w:color w:val="ED7D31" w:themeColor="accent2"/>
      <w:u w:val="single"/>
    </w:rPr>
  </w:style>
  <w:style w:type="character" w:styleId="CommentReference">
    <w:name w:val="annotation reference"/>
    <w:basedOn w:val="DefaultParagraphFont"/>
    <w:uiPriority w:val="99"/>
    <w:semiHidden/>
    <w:unhideWhenUsed/>
    <w:rsid w:val="002C69F5"/>
    <w:rPr>
      <w:sz w:val="16"/>
      <w:szCs w:val="16"/>
    </w:rPr>
  </w:style>
  <w:style w:type="paragraph" w:styleId="CommentText">
    <w:name w:val="annotation text"/>
    <w:basedOn w:val="Normal"/>
    <w:link w:val="CommentTextChar"/>
    <w:uiPriority w:val="99"/>
    <w:unhideWhenUsed/>
    <w:rsid w:val="002C69F5"/>
    <w:pPr>
      <w:spacing w:line="240" w:lineRule="auto"/>
    </w:pPr>
    <w:rPr>
      <w:sz w:val="20"/>
      <w:szCs w:val="20"/>
    </w:rPr>
  </w:style>
  <w:style w:type="character" w:customStyle="1" w:styleId="CommentTextChar">
    <w:name w:val="Comment Text Char"/>
    <w:basedOn w:val="DefaultParagraphFont"/>
    <w:link w:val="CommentText"/>
    <w:uiPriority w:val="99"/>
    <w:rsid w:val="002C69F5"/>
    <w:rPr>
      <w:sz w:val="20"/>
      <w:szCs w:val="20"/>
    </w:rPr>
  </w:style>
  <w:style w:type="paragraph" w:styleId="CommentSubject">
    <w:name w:val="annotation subject"/>
    <w:basedOn w:val="CommentText"/>
    <w:next w:val="CommentText"/>
    <w:link w:val="CommentSubjectChar"/>
    <w:uiPriority w:val="99"/>
    <w:semiHidden/>
    <w:unhideWhenUsed/>
    <w:rsid w:val="002C69F5"/>
    <w:rPr>
      <w:b/>
      <w:bCs/>
    </w:rPr>
  </w:style>
  <w:style w:type="character" w:customStyle="1" w:styleId="CommentSubjectChar">
    <w:name w:val="Comment Subject Char"/>
    <w:basedOn w:val="CommentTextChar"/>
    <w:link w:val="CommentSubject"/>
    <w:uiPriority w:val="99"/>
    <w:semiHidden/>
    <w:rsid w:val="002C69F5"/>
    <w:rPr>
      <w:b/>
      <w:bCs/>
      <w:sz w:val="20"/>
      <w:szCs w:val="20"/>
    </w:rPr>
  </w:style>
  <w:style w:type="paragraph" w:styleId="Revision">
    <w:name w:val="Revision"/>
    <w:hidden/>
    <w:uiPriority w:val="99"/>
    <w:semiHidden/>
    <w:rsid w:val="009A2838"/>
    <w:pPr>
      <w:spacing w:after="0" w:line="240" w:lineRule="auto"/>
    </w:pPr>
  </w:style>
  <w:style w:type="character" w:styleId="PlaceholderText">
    <w:name w:val="Placeholder Text"/>
    <w:basedOn w:val="DefaultParagraphFont"/>
    <w:uiPriority w:val="99"/>
    <w:semiHidden/>
    <w:rsid w:val="003E1D43"/>
    <w:rPr>
      <w:color w:val="808080"/>
    </w:rPr>
  </w:style>
  <w:style w:type="character" w:customStyle="1" w:styleId="Heading1Char">
    <w:name w:val="Heading 1 Char"/>
    <w:basedOn w:val="DefaultParagraphFont"/>
    <w:link w:val="Heading1"/>
    <w:uiPriority w:val="9"/>
    <w:rsid w:val="00006F18"/>
    <w:rPr>
      <w:b/>
    </w:rPr>
  </w:style>
  <w:style w:type="paragraph" w:styleId="TOCHeading">
    <w:name w:val="TOC Heading"/>
    <w:basedOn w:val="Heading1"/>
    <w:next w:val="Normal"/>
    <w:uiPriority w:val="39"/>
    <w:unhideWhenUsed/>
    <w:qFormat/>
    <w:rsid w:val="00006F18"/>
    <w:pPr>
      <w:outlineLvl w:val="9"/>
    </w:pPr>
  </w:style>
  <w:style w:type="character" w:customStyle="1" w:styleId="Heading2Char">
    <w:name w:val="Heading 2 Char"/>
    <w:basedOn w:val="DefaultParagraphFont"/>
    <w:link w:val="Heading2"/>
    <w:uiPriority w:val="9"/>
    <w:rsid w:val="00BE0195"/>
    <w:rPr>
      <w:b/>
    </w:rPr>
  </w:style>
  <w:style w:type="paragraph" w:styleId="TOC1">
    <w:name w:val="toc 1"/>
    <w:basedOn w:val="Normal"/>
    <w:next w:val="Normal"/>
    <w:autoRedefine/>
    <w:uiPriority w:val="39"/>
    <w:unhideWhenUsed/>
    <w:rsid w:val="00BE0195"/>
    <w:pPr>
      <w:spacing w:after="100"/>
    </w:pPr>
  </w:style>
  <w:style w:type="paragraph" w:styleId="TOC2">
    <w:name w:val="toc 2"/>
    <w:basedOn w:val="Normal"/>
    <w:next w:val="Normal"/>
    <w:autoRedefine/>
    <w:uiPriority w:val="39"/>
    <w:unhideWhenUsed/>
    <w:rsid w:val="001A3CF6"/>
    <w:pPr>
      <w:tabs>
        <w:tab w:val="left" w:pos="660"/>
        <w:tab w:val="left" w:pos="4680"/>
        <w:tab w:val="right" w:leader="dot" w:pos="9350"/>
      </w:tabs>
      <w:spacing w:after="100"/>
      <w:ind w:left="220"/>
    </w:pPr>
  </w:style>
  <w:style w:type="paragraph" w:styleId="DocumentMap">
    <w:name w:val="Document Map"/>
    <w:basedOn w:val="Normal"/>
    <w:link w:val="DocumentMapChar"/>
    <w:uiPriority w:val="99"/>
    <w:semiHidden/>
    <w:unhideWhenUsed/>
    <w:rsid w:val="007E554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E554F"/>
    <w:rPr>
      <w:rFonts w:ascii="Times New Roman" w:hAnsi="Times New Roman" w:cs="Times New Roman"/>
      <w:sz w:val="24"/>
      <w:szCs w:val="24"/>
    </w:rPr>
  </w:style>
  <w:style w:type="character" w:styleId="Emphasis">
    <w:name w:val="Emphasis"/>
    <w:basedOn w:val="DefaultParagraphFont"/>
    <w:uiPriority w:val="20"/>
    <w:qFormat/>
    <w:rsid w:val="001A4314"/>
    <w:rPr>
      <w:i/>
      <w:iCs/>
    </w:rPr>
  </w:style>
  <w:style w:type="paragraph" w:customStyle="1" w:styleId="SingleTxtG">
    <w:name w:val="_ Single Txt_G"/>
    <w:basedOn w:val="Normal"/>
    <w:link w:val="SingleTxtGChar"/>
    <w:qFormat/>
    <w:rsid w:val="003F5FAB"/>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3F5FAB"/>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06F18"/>
    <w:pPr>
      <w:jc w:val="both"/>
      <w:outlineLvl w:val="0"/>
    </w:pPr>
    <w:rPr>
      <w:b/>
    </w:rPr>
  </w:style>
  <w:style w:type="paragraph" w:styleId="Heading2">
    <w:name w:val="heading 2"/>
    <w:basedOn w:val="Normal"/>
    <w:next w:val="Normal"/>
    <w:link w:val="Heading2Char"/>
    <w:uiPriority w:val="9"/>
    <w:unhideWhenUsed/>
    <w:qFormat/>
    <w:rsid w:val="00BE0195"/>
    <w:pPr>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63A75"/>
    <w:pPr>
      <w:spacing w:after="0" w:line="240" w:lineRule="auto"/>
    </w:pPr>
    <w:rPr>
      <w:sz w:val="20"/>
      <w:szCs w:val="20"/>
    </w:rPr>
  </w:style>
  <w:style w:type="character" w:customStyle="1" w:styleId="FootnoteTextChar">
    <w:name w:val="Footnote Text Char"/>
    <w:basedOn w:val="DefaultParagraphFont"/>
    <w:link w:val="FootnoteText"/>
    <w:uiPriority w:val="99"/>
    <w:rsid w:val="00963A75"/>
    <w:rPr>
      <w:sz w:val="20"/>
      <w:szCs w:val="20"/>
    </w:rPr>
  </w:style>
  <w:style w:type="character" w:styleId="FootnoteReference">
    <w:name w:val="footnote reference"/>
    <w:basedOn w:val="DefaultParagraphFont"/>
    <w:uiPriority w:val="99"/>
    <w:unhideWhenUsed/>
    <w:rsid w:val="00963A75"/>
    <w:rPr>
      <w:vertAlign w:val="superscript"/>
    </w:rPr>
  </w:style>
  <w:style w:type="paragraph" w:styleId="ListParagraph">
    <w:name w:val="List Paragraph"/>
    <w:basedOn w:val="Normal"/>
    <w:uiPriority w:val="34"/>
    <w:qFormat/>
    <w:rsid w:val="001223EA"/>
    <w:pPr>
      <w:ind w:left="720"/>
      <w:contextualSpacing/>
    </w:pPr>
  </w:style>
  <w:style w:type="character" w:styleId="Hyperlink">
    <w:name w:val="Hyperlink"/>
    <w:basedOn w:val="DefaultParagraphFont"/>
    <w:uiPriority w:val="99"/>
    <w:unhideWhenUsed/>
    <w:rsid w:val="00C80073"/>
    <w:rPr>
      <w:color w:val="0563C1" w:themeColor="hyperlink"/>
      <w:u w:val="single"/>
    </w:rPr>
  </w:style>
  <w:style w:type="paragraph" w:styleId="NormalWeb">
    <w:name w:val="Normal (Web)"/>
    <w:basedOn w:val="Normal"/>
    <w:uiPriority w:val="99"/>
    <w:rsid w:val="00083608"/>
    <w:pPr>
      <w:spacing w:beforeLines="1" w:afterLines="1" w:after="200" w:line="240" w:lineRule="auto"/>
    </w:pPr>
    <w:rPr>
      <w:rFonts w:ascii="Times" w:hAnsi="Times" w:cs="Times New Roman"/>
      <w:sz w:val="20"/>
      <w:szCs w:val="20"/>
      <w:lang w:val="es-ES_tradnl" w:eastAsia="es-ES_tradnl"/>
    </w:rPr>
  </w:style>
  <w:style w:type="paragraph" w:styleId="Footer">
    <w:name w:val="footer"/>
    <w:basedOn w:val="Normal"/>
    <w:link w:val="FooterChar"/>
    <w:uiPriority w:val="99"/>
    <w:unhideWhenUsed/>
    <w:rsid w:val="00E91E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E91E71"/>
  </w:style>
  <w:style w:type="character" w:styleId="PageNumber">
    <w:name w:val="page number"/>
    <w:basedOn w:val="DefaultParagraphFont"/>
    <w:uiPriority w:val="99"/>
    <w:semiHidden/>
    <w:unhideWhenUsed/>
    <w:rsid w:val="00E91E71"/>
  </w:style>
  <w:style w:type="paragraph" w:styleId="Header">
    <w:name w:val="header"/>
    <w:basedOn w:val="Normal"/>
    <w:link w:val="HeaderChar"/>
    <w:uiPriority w:val="99"/>
    <w:unhideWhenUsed/>
    <w:rsid w:val="00A67B1B"/>
    <w:pPr>
      <w:tabs>
        <w:tab w:val="center" w:pos="4320"/>
        <w:tab w:val="right" w:pos="8640"/>
      </w:tabs>
      <w:spacing w:after="0" w:line="240" w:lineRule="auto"/>
    </w:pPr>
  </w:style>
  <w:style w:type="character" w:customStyle="1" w:styleId="HeaderChar">
    <w:name w:val="Header Char"/>
    <w:basedOn w:val="DefaultParagraphFont"/>
    <w:link w:val="Header"/>
    <w:uiPriority w:val="99"/>
    <w:rsid w:val="00A67B1B"/>
  </w:style>
  <w:style w:type="character" w:customStyle="1" w:styleId="apple-converted-space">
    <w:name w:val="apple-converted-space"/>
    <w:basedOn w:val="DefaultParagraphFont"/>
    <w:rsid w:val="00AA5F71"/>
  </w:style>
  <w:style w:type="character" w:styleId="FollowedHyperlink">
    <w:name w:val="FollowedHyperlink"/>
    <w:basedOn w:val="DefaultParagraphFont"/>
    <w:uiPriority w:val="99"/>
    <w:semiHidden/>
    <w:unhideWhenUsed/>
    <w:rsid w:val="00847A09"/>
    <w:rPr>
      <w:color w:val="954F72" w:themeColor="followedHyperlink"/>
      <w:u w:val="single"/>
    </w:rPr>
  </w:style>
  <w:style w:type="paragraph" w:styleId="BalloonText">
    <w:name w:val="Balloon Text"/>
    <w:basedOn w:val="Normal"/>
    <w:link w:val="BalloonTextChar"/>
    <w:uiPriority w:val="99"/>
    <w:semiHidden/>
    <w:unhideWhenUsed/>
    <w:rsid w:val="00B13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164"/>
    <w:rPr>
      <w:rFonts w:ascii="Segoe UI" w:hAnsi="Segoe UI" w:cs="Segoe UI"/>
      <w:sz w:val="18"/>
      <w:szCs w:val="18"/>
    </w:rPr>
  </w:style>
  <w:style w:type="character" w:styleId="SubtleReference">
    <w:name w:val="Subtle Reference"/>
    <w:basedOn w:val="DefaultParagraphFont"/>
    <w:uiPriority w:val="31"/>
    <w:qFormat/>
    <w:rsid w:val="0059062E"/>
    <w:rPr>
      <w:smallCaps/>
      <w:color w:val="ED7D31" w:themeColor="accent2"/>
      <w:u w:val="single"/>
    </w:rPr>
  </w:style>
  <w:style w:type="character" w:styleId="CommentReference">
    <w:name w:val="annotation reference"/>
    <w:basedOn w:val="DefaultParagraphFont"/>
    <w:uiPriority w:val="99"/>
    <w:semiHidden/>
    <w:unhideWhenUsed/>
    <w:rsid w:val="002C69F5"/>
    <w:rPr>
      <w:sz w:val="16"/>
      <w:szCs w:val="16"/>
    </w:rPr>
  </w:style>
  <w:style w:type="paragraph" w:styleId="CommentText">
    <w:name w:val="annotation text"/>
    <w:basedOn w:val="Normal"/>
    <w:link w:val="CommentTextChar"/>
    <w:uiPriority w:val="99"/>
    <w:unhideWhenUsed/>
    <w:rsid w:val="002C69F5"/>
    <w:pPr>
      <w:spacing w:line="240" w:lineRule="auto"/>
    </w:pPr>
    <w:rPr>
      <w:sz w:val="20"/>
      <w:szCs w:val="20"/>
    </w:rPr>
  </w:style>
  <w:style w:type="character" w:customStyle="1" w:styleId="CommentTextChar">
    <w:name w:val="Comment Text Char"/>
    <w:basedOn w:val="DefaultParagraphFont"/>
    <w:link w:val="CommentText"/>
    <w:uiPriority w:val="99"/>
    <w:rsid w:val="002C69F5"/>
    <w:rPr>
      <w:sz w:val="20"/>
      <w:szCs w:val="20"/>
    </w:rPr>
  </w:style>
  <w:style w:type="paragraph" w:styleId="CommentSubject">
    <w:name w:val="annotation subject"/>
    <w:basedOn w:val="CommentText"/>
    <w:next w:val="CommentText"/>
    <w:link w:val="CommentSubjectChar"/>
    <w:uiPriority w:val="99"/>
    <w:semiHidden/>
    <w:unhideWhenUsed/>
    <w:rsid w:val="002C69F5"/>
    <w:rPr>
      <w:b/>
      <w:bCs/>
    </w:rPr>
  </w:style>
  <w:style w:type="character" w:customStyle="1" w:styleId="CommentSubjectChar">
    <w:name w:val="Comment Subject Char"/>
    <w:basedOn w:val="CommentTextChar"/>
    <w:link w:val="CommentSubject"/>
    <w:uiPriority w:val="99"/>
    <w:semiHidden/>
    <w:rsid w:val="002C69F5"/>
    <w:rPr>
      <w:b/>
      <w:bCs/>
      <w:sz w:val="20"/>
      <w:szCs w:val="20"/>
    </w:rPr>
  </w:style>
  <w:style w:type="paragraph" w:styleId="Revision">
    <w:name w:val="Revision"/>
    <w:hidden/>
    <w:uiPriority w:val="99"/>
    <w:semiHidden/>
    <w:rsid w:val="009A2838"/>
    <w:pPr>
      <w:spacing w:after="0" w:line="240" w:lineRule="auto"/>
    </w:pPr>
  </w:style>
  <w:style w:type="character" w:styleId="PlaceholderText">
    <w:name w:val="Placeholder Text"/>
    <w:basedOn w:val="DefaultParagraphFont"/>
    <w:uiPriority w:val="99"/>
    <w:semiHidden/>
    <w:rsid w:val="003E1D43"/>
    <w:rPr>
      <w:color w:val="808080"/>
    </w:rPr>
  </w:style>
  <w:style w:type="character" w:customStyle="1" w:styleId="Heading1Char">
    <w:name w:val="Heading 1 Char"/>
    <w:basedOn w:val="DefaultParagraphFont"/>
    <w:link w:val="Heading1"/>
    <w:uiPriority w:val="9"/>
    <w:rsid w:val="00006F18"/>
    <w:rPr>
      <w:b/>
    </w:rPr>
  </w:style>
  <w:style w:type="paragraph" w:styleId="TOCHeading">
    <w:name w:val="TOC Heading"/>
    <w:basedOn w:val="Heading1"/>
    <w:next w:val="Normal"/>
    <w:uiPriority w:val="39"/>
    <w:unhideWhenUsed/>
    <w:qFormat/>
    <w:rsid w:val="00006F18"/>
    <w:pPr>
      <w:outlineLvl w:val="9"/>
    </w:pPr>
  </w:style>
  <w:style w:type="character" w:customStyle="1" w:styleId="Heading2Char">
    <w:name w:val="Heading 2 Char"/>
    <w:basedOn w:val="DefaultParagraphFont"/>
    <w:link w:val="Heading2"/>
    <w:uiPriority w:val="9"/>
    <w:rsid w:val="00BE0195"/>
    <w:rPr>
      <w:b/>
    </w:rPr>
  </w:style>
  <w:style w:type="paragraph" w:styleId="TOC1">
    <w:name w:val="toc 1"/>
    <w:basedOn w:val="Normal"/>
    <w:next w:val="Normal"/>
    <w:autoRedefine/>
    <w:uiPriority w:val="39"/>
    <w:unhideWhenUsed/>
    <w:rsid w:val="00BE0195"/>
    <w:pPr>
      <w:spacing w:after="100"/>
    </w:pPr>
  </w:style>
  <w:style w:type="paragraph" w:styleId="TOC2">
    <w:name w:val="toc 2"/>
    <w:basedOn w:val="Normal"/>
    <w:next w:val="Normal"/>
    <w:autoRedefine/>
    <w:uiPriority w:val="39"/>
    <w:unhideWhenUsed/>
    <w:rsid w:val="001A3CF6"/>
    <w:pPr>
      <w:tabs>
        <w:tab w:val="left" w:pos="660"/>
        <w:tab w:val="left" w:pos="4680"/>
        <w:tab w:val="right" w:leader="dot" w:pos="9350"/>
      </w:tabs>
      <w:spacing w:after="100"/>
      <w:ind w:left="220"/>
    </w:pPr>
  </w:style>
  <w:style w:type="paragraph" w:styleId="DocumentMap">
    <w:name w:val="Document Map"/>
    <w:basedOn w:val="Normal"/>
    <w:link w:val="DocumentMapChar"/>
    <w:uiPriority w:val="99"/>
    <w:semiHidden/>
    <w:unhideWhenUsed/>
    <w:rsid w:val="007E554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E554F"/>
    <w:rPr>
      <w:rFonts w:ascii="Times New Roman" w:hAnsi="Times New Roman" w:cs="Times New Roman"/>
      <w:sz w:val="24"/>
      <w:szCs w:val="24"/>
    </w:rPr>
  </w:style>
  <w:style w:type="character" w:styleId="Emphasis">
    <w:name w:val="Emphasis"/>
    <w:basedOn w:val="DefaultParagraphFont"/>
    <w:uiPriority w:val="20"/>
    <w:qFormat/>
    <w:rsid w:val="001A4314"/>
    <w:rPr>
      <w:i/>
      <w:iCs/>
    </w:rPr>
  </w:style>
  <w:style w:type="paragraph" w:customStyle="1" w:styleId="SingleTxtG">
    <w:name w:val="_ Single Txt_G"/>
    <w:basedOn w:val="Normal"/>
    <w:link w:val="SingleTxtGChar"/>
    <w:qFormat/>
    <w:rsid w:val="003F5FAB"/>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3F5FAB"/>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4073">
      <w:bodyDiv w:val="1"/>
      <w:marLeft w:val="0"/>
      <w:marRight w:val="0"/>
      <w:marTop w:val="0"/>
      <w:marBottom w:val="0"/>
      <w:divBdr>
        <w:top w:val="none" w:sz="0" w:space="0" w:color="auto"/>
        <w:left w:val="none" w:sz="0" w:space="0" w:color="auto"/>
        <w:bottom w:val="none" w:sz="0" w:space="0" w:color="auto"/>
        <w:right w:val="none" w:sz="0" w:space="0" w:color="auto"/>
      </w:divBdr>
    </w:div>
    <w:div w:id="380789307">
      <w:bodyDiv w:val="1"/>
      <w:marLeft w:val="0"/>
      <w:marRight w:val="0"/>
      <w:marTop w:val="0"/>
      <w:marBottom w:val="0"/>
      <w:divBdr>
        <w:top w:val="none" w:sz="0" w:space="0" w:color="auto"/>
        <w:left w:val="none" w:sz="0" w:space="0" w:color="auto"/>
        <w:bottom w:val="none" w:sz="0" w:space="0" w:color="auto"/>
        <w:right w:val="none" w:sz="0" w:space="0" w:color="auto"/>
      </w:divBdr>
      <w:divsChild>
        <w:div w:id="1073426421">
          <w:marLeft w:val="0"/>
          <w:marRight w:val="0"/>
          <w:marTop w:val="0"/>
          <w:marBottom w:val="0"/>
          <w:divBdr>
            <w:top w:val="none" w:sz="0" w:space="0" w:color="auto"/>
            <w:left w:val="none" w:sz="0" w:space="0" w:color="auto"/>
            <w:bottom w:val="none" w:sz="0" w:space="0" w:color="auto"/>
            <w:right w:val="none" w:sz="0" w:space="0" w:color="auto"/>
          </w:divBdr>
        </w:div>
        <w:div w:id="1680235093">
          <w:marLeft w:val="0"/>
          <w:marRight w:val="0"/>
          <w:marTop w:val="0"/>
          <w:marBottom w:val="0"/>
          <w:divBdr>
            <w:top w:val="none" w:sz="0" w:space="0" w:color="auto"/>
            <w:left w:val="none" w:sz="0" w:space="0" w:color="auto"/>
            <w:bottom w:val="none" w:sz="0" w:space="0" w:color="auto"/>
            <w:right w:val="none" w:sz="0" w:space="0" w:color="auto"/>
          </w:divBdr>
        </w:div>
      </w:divsChild>
    </w:div>
    <w:div w:id="480732752">
      <w:bodyDiv w:val="1"/>
      <w:marLeft w:val="0"/>
      <w:marRight w:val="0"/>
      <w:marTop w:val="0"/>
      <w:marBottom w:val="0"/>
      <w:divBdr>
        <w:top w:val="none" w:sz="0" w:space="0" w:color="auto"/>
        <w:left w:val="none" w:sz="0" w:space="0" w:color="auto"/>
        <w:bottom w:val="none" w:sz="0" w:space="0" w:color="auto"/>
        <w:right w:val="none" w:sz="0" w:space="0" w:color="auto"/>
      </w:divBdr>
    </w:div>
    <w:div w:id="551499630">
      <w:bodyDiv w:val="1"/>
      <w:marLeft w:val="0"/>
      <w:marRight w:val="0"/>
      <w:marTop w:val="0"/>
      <w:marBottom w:val="0"/>
      <w:divBdr>
        <w:top w:val="none" w:sz="0" w:space="0" w:color="auto"/>
        <w:left w:val="none" w:sz="0" w:space="0" w:color="auto"/>
        <w:bottom w:val="none" w:sz="0" w:space="0" w:color="auto"/>
        <w:right w:val="none" w:sz="0" w:space="0" w:color="auto"/>
      </w:divBdr>
      <w:divsChild>
        <w:div w:id="836000607">
          <w:marLeft w:val="0"/>
          <w:marRight w:val="0"/>
          <w:marTop w:val="0"/>
          <w:marBottom w:val="0"/>
          <w:divBdr>
            <w:top w:val="none" w:sz="0" w:space="0" w:color="auto"/>
            <w:left w:val="none" w:sz="0" w:space="0" w:color="auto"/>
            <w:bottom w:val="none" w:sz="0" w:space="0" w:color="auto"/>
            <w:right w:val="none" w:sz="0" w:space="0" w:color="auto"/>
          </w:divBdr>
        </w:div>
        <w:div w:id="1978022139">
          <w:marLeft w:val="0"/>
          <w:marRight w:val="0"/>
          <w:marTop w:val="0"/>
          <w:marBottom w:val="0"/>
          <w:divBdr>
            <w:top w:val="none" w:sz="0" w:space="0" w:color="auto"/>
            <w:left w:val="none" w:sz="0" w:space="0" w:color="auto"/>
            <w:bottom w:val="none" w:sz="0" w:space="0" w:color="auto"/>
            <w:right w:val="none" w:sz="0" w:space="0" w:color="auto"/>
          </w:divBdr>
        </w:div>
        <w:div w:id="464585849">
          <w:marLeft w:val="0"/>
          <w:marRight w:val="0"/>
          <w:marTop w:val="0"/>
          <w:marBottom w:val="0"/>
          <w:divBdr>
            <w:top w:val="none" w:sz="0" w:space="0" w:color="auto"/>
            <w:left w:val="none" w:sz="0" w:space="0" w:color="auto"/>
            <w:bottom w:val="none" w:sz="0" w:space="0" w:color="auto"/>
            <w:right w:val="none" w:sz="0" w:space="0" w:color="auto"/>
          </w:divBdr>
        </w:div>
        <w:div w:id="573393055">
          <w:marLeft w:val="0"/>
          <w:marRight w:val="0"/>
          <w:marTop w:val="0"/>
          <w:marBottom w:val="0"/>
          <w:divBdr>
            <w:top w:val="none" w:sz="0" w:space="0" w:color="auto"/>
            <w:left w:val="none" w:sz="0" w:space="0" w:color="auto"/>
            <w:bottom w:val="none" w:sz="0" w:space="0" w:color="auto"/>
            <w:right w:val="none" w:sz="0" w:space="0" w:color="auto"/>
          </w:divBdr>
        </w:div>
      </w:divsChild>
    </w:div>
    <w:div w:id="751512557">
      <w:bodyDiv w:val="1"/>
      <w:marLeft w:val="0"/>
      <w:marRight w:val="0"/>
      <w:marTop w:val="0"/>
      <w:marBottom w:val="0"/>
      <w:divBdr>
        <w:top w:val="none" w:sz="0" w:space="0" w:color="auto"/>
        <w:left w:val="none" w:sz="0" w:space="0" w:color="auto"/>
        <w:bottom w:val="none" w:sz="0" w:space="0" w:color="auto"/>
        <w:right w:val="none" w:sz="0" w:space="0" w:color="auto"/>
      </w:divBdr>
    </w:div>
    <w:div w:id="775947368">
      <w:bodyDiv w:val="1"/>
      <w:marLeft w:val="0"/>
      <w:marRight w:val="0"/>
      <w:marTop w:val="0"/>
      <w:marBottom w:val="0"/>
      <w:divBdr>
        <w:top w:val="none" w:sz="0" w:space="0" w:color="auto"/>
        <w:left w:val="none" w:sz="0" w:space="0" w:color="auto"/>
        <w:bottom w:val="none" w:sz="0" w:space="0" w:color="auto"/>
        <w:right w:val="none" w:sz="0" w:space="0" w:color="auto"/>
      </w:divBdr>
      <w:divsChild>
        <w:div w:id="623732654">
          <w:marLeft w:val="0"/>
          <w:marRight w:val="0"/>
          <w:marTop w:val="0"/>
          <w:marBottom w:val="0"/>
          <w:divBdr>
            <w:top w:val="none" w:sz="0" w:space="0" w:color="auto"/>
            <w:left w:val="none" w:sz="0" w:space="0" w:color="auto"/>
            <w:bottom w:val="none" w:sz="0" w:space="0" w:color="auto"/>
            <w:right w:val="none" w:sz="0" w:space="0" w:color="auto"/>
          </w:divBdr>
          <w:divsChild>
            <w:div w:id="369308750">
              <w:marLeft w:val="0"/>
              <w:marRight w:val="0"/>
              <w:marTop w:val="0"/>
              <w:marBottom w:val="0"/>
              <w:divBdr>
                <w:top w:val="none" w:sz="0" w:space="0" w:color="auto"/>
                <w:left w:val="none" w:sz="0" w:space="0" w:color="auto"/>
                <w:bottom w:val="none" w:sz="0" w:space="0" w:color="auto"/>
                <w:right w:val="none" w:sz="0" w:space="0" w:color="auto"/>
              </w:divBdr>
              <w:divsChild>
                <w:div w:id="20417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05555">
      <w:bodyDiv w:val="1"/>
      <w:marLeft w:val="0"/>
      <w:marRight w:val="0"/>
      <w:marTop w:val="0"/>
      <w:marBottom w:val="0"/>
      <w:divBdr>
        <w:top w:val="none" w:sz="0" w:space="0" w:color="auto"/>
        <w:left w:val="none" w:sz="0" w:space="0" w:color="auto"/>
        <w:bottom w:val="none" w:sz="0" w:space="0" w:color="auto"/>
        <w:right w:val="none" w:sz="0" w:space="0" w:color="auto"/>
      </w:divBdr>
    </w:div>
    <w:div w:id="1142313634">
      <w:bodyDiv w:val="1"/>
      <w:marLeft w:val="0"/>
      <w:marRight w:val="0"/>
      <w:marTop w:val="0"/>
      <w:marBottom w:val="0"/>
      <w:divBdr>
        <w:top w:val="none" w:sz="0" w:space="0" w:color="auto"/>
        <w:left w:val="none" w:sz="0" w:space="0" w:color="auto"/>
        <w:bottom w:val="none" w:sz="0" w:space="0" w:color="auto"/>
        <w:right w:val="none" w:sz="0" w:space="0" w:color="auto"/>
      </w:divBdr>
      <w:divsChild>
        <w:div w:id="98063055">
          <w:marLeft w:val="0"/>
          <w:marRight w:val="0"/>
          <w:marTop w:val="0"/>
          <w:marBottom w:val="0"/>
          <w:divBdr>
            <w:top w:val="none" w:sz="0" w:space="0" w:color="auto"/>
            <w:left w:val="none" w:sz="0" w:space="0" w:color="auto"/>
            <w:bottom w:val="none" w:sz="0" w:space="0" w:color="auto"/>
            <w:right w:val="none" w:sz="0" w:space="0" w:color="auto"/>
          </w:divBdr>
        </w:div>
        <w:div w:id="337586023">
          <w:marLeft w:val="0"/>
          <w:marRight w:val="0"/>
          <w:marTop w:val="0"/>
          <w:marBottom w:val="0"/>
          <w:divBdr>
            <w:top w:val="none" w:sz="0" w:space="0" w:color="auto"/>
            <w:left w:val="none" w:sz="0" w:space="0" w:color="auto"/>
            <w:bottom w:val="none" w:sz="0" w:space="0" w:color="auto"/>
            <w:right w:val="none" w:sz="0" w:space="0" w:color="auto"/>
          </w:divBdr>
        </w:div>
        <w:div w:id="940264966">
          <w:marLeft w:val="0"/>
          <w:marRight w:val="0"/>
          <w:marTop w:val="0"/>
          <w:marBottom w:val="0"/>
          <w:divBdr>
            <w:top w:val="none" w:sz="0" w:space="0" w:color="auto"/>
            <w:left w:val="none" w:sz="0" w:space="0" w:color="auto"/>
            <w:bottom w:val="none" w:sz="0" w:space="0" w:color="auto"/>
            <w:right w:val="none" w:sz="0" w:space="0" w:color="auto"/>
          </w:divBdr>
        </w:div>
        <w:div w:id="1414202481">
          <w:marLeft w:val="0"/>
          <w:marRight w:val="0"/>
          <w:marTop w:val="0"/>
          <w:marBottom w:val="0"/>
          <w:divBdr>
            <w:top w:val="none" w:sz="0" w:space="0" w:color="auto"/>
            <w:left w:val="none" w:sz="0" w:space="0" w:color="auto"/>
            <w:bottom w:val="none" w:sz="0" w:space="0" w:color="auto"/>
            <w:right w:val="none" w:sz="0" w:space="0" w:color="auto"/>
          </w:divBdr>
        </w:div>
        <w:div w:id="1511330726">
          <w:marLeft w:val="0"/>
          <w:marRight w:val="0"/>
          <w:marTop w:val="0"/>
          <w:marBottom w:val="0"/>
          <w:divBdr>
            <w:top w:val="none" w:sz="0" w:space="0" w:color="auto"/>
            <w:left w:val="none" w:sz="0" w:space="0" w:color="auto"/>
            <w:bottom w:val="none" w:sz="0" w:space="0" w:color="auto"/>
            <w:right w:val="none" w:sz="0" w:space="0" w:color="auto"/>
          </w:divBdr>
        </w:div>
        <w:div w:id="1574662990">
          <w:marLeft w:val="0"/>
          <w:marRight w:val="0"/>
          <w:marTop w:val="0"/>
          <w:marBottom w:val="0"/>
          <w:divBdr>
            <w:top w:val="none" w:sz="0" w:space="0" w:color="auto"/>
            <w:left w:val="none" w:sz="0" w:space="0" w:color="auto"/>
            <w:bottom w:val="none" w:sz="0" w:space="0" w:color="auto"/>
            <w:right w:val="none" w:sz="0" w:space="0" w:color="auto"/>
          </w:divBdr>
        </w:div>
        <w:div w:id="1877617916">
          <w:marLeft w:val="0"/>
          <w:marRight w:val="0"/>
          <w:marTop w:val="0"/>
          <w:marBottom w:val="0"/>
          <w:divBdr>
            <w:top w:val="none" w:sz="0" w:space="0" w:color="auto"/>
            <w:left w:val="none" w:sz="0" w:space="0" w:color="auto"/>
            <w:bottom w:val="none" w:sz="0" w:space="0" w:color="auto"/>
            <w:right w:val="none" w:sz="0" w:space="0" w:color="auto"/>
          </w:divBdr>
        </w:div>
      </w:divsChild>
    </w:div>
    <w:div w:id="1196238859">
      <w:bodyDiv w:val="1"/>
      <w:marLeft w:val="0"/>
      <w:marRight w:val="0"/>
      <w:marTop w:val="0"/>
      <w:marBottom w:val="0"/>
      <w:divBdr>
        <w:top w:val="none" w:sz="0" w:space="0" w:color="auto"/>
        <w:left w:val="none" w:sz="0" w:space="0" w:color="auto"/>
        <w:bottom w:val="none" w:sz="0" w:space="0" w:color="auto"/>
        <w:right w:val="none" w:sz="0" w:space="0" w:color="auto"/>
      </w:divBdr>
      <w:divsChild>
        <w:div w:id="888615809">
          <w:marLeft w:val="0"/>
          <w:marRight w:val="0"/>
          <w:marTop w:val="0"/>
          <w:marBottom w:val="0"/>
          <w:divBdr>
            <w:top w:val="none" w:sz="0" w:space="0" w:color="auto"/>
            <w:left w:val="none" w:sz="0" w:space="0" w:color="auto"/>
            <w:bottom w:val="none" w:sz="0" w:space="0" w:color="auto"/>
            <w:right w:val="none" w:sz="0" w:space="0" w:color="auto"/>
          </w:divBdr>
        </w:div>
        <w:div w:id="2079281520">
          <w:marLeft w:val="0"/>
          <w:marRight w:val="0"/>
          <w:marTop w:val="0"/>
          <w:marBottom w:val="0"/>
          <w:divBdr>
            <w:top w:val="none" w:sz="0" w:space="0" w:color="auto"/>
            <w:left w:val="none" w:sz="0" w:space="0" w:color="auto"/>
            <w:bottom w:val="none" w:sz="0" w:space="0" w:color="auto"/>
            <w:right w:val="none" w:sz="0" w:space="0" w:color="auto"/>
          </w:divBdr>
        </w:div>
      </w:divsChild>
    </w:div>
    <w:div w:id="1264337812">
      <w:bodyDiv w:val="1"/>
      <w:marLeft w:val="0"/>
      <w:marRight w:val="0"/>
      <w:marTop w:val="0"/>
      <w:marBottom w:val="0"/>
      <w:divBdr>
        <w:top w:val="none" w:sz="0" w:space="0" w:color="auto"/>
        <w:left w:val="none" w:sz="0" w:space="0" w:color="auto"/>
        <w:bottom w:val="none" w:sz="0" w:space="0" w:color="auto"/>
        <w:right w:val="none" w:sz="0" w:space="0" w:color="auto"/>
      </w:divBdr>
    </w:div>
    <w:div w:id="1346515018">
      <w:bodyDiv w:val="1"/>
      <w:marLeft w:val="0"/>
      <w:marRight w:val="0"/>
      <w:marTop w:val="0"/>
      <w:marBottom w:val="0"/>
      <w:divBdr>
        <w:top w:val="none" w:sz="0" w:space="0" w:color="auto"/>
        <w:left w:val="none" w:sz="0" w:space="0" w:color="auto"/>
        <w:bottom w:val="none" w:sz="0" w:space="0" w:color="auto"/>
        <w:right w:val="none" w:sz="0" w:space="0" w:color="auto"/>
      </w:divBdr>
    </w:div>
    <w:div w:id="1386637696">
      <w:bodyDiv w:val="1"/>
      <w:marLeft w:val="0"/>
      <w:marRight w:val="0"/>
      <w:marTop w:val="0"/>
      <w:marBottom w:val="0"/>
      <w:divBdr>
        <w:top w:val="none" w:sz="0" w:space="0" w:color="auto"/>
        <w:left w:val="none" w:sz="0" w:space="0" w:color="auto"/>
        <w:bottom w:val="none" w:sz="0" w:space="0" w:color="auto"/>
        <w:right w:val="none" w:sz="0" w:space="0" w:color="auto"/>
      </w:divBdr>
    </w:div>
    <w:div w:id="1468818943">
      <w:bodyDiv w:val="1"/>
      <w:marLeft w:val="0"/>
      <w:marRight w:val="0"/>
      <w:marTop w:val="0"/>
      <w:marBottom w:val="0"/>
      <w:divBdr>
        <w:top w:val="none" w:sz="0" w:space="0" w:color="auto"/>
        <w:left w:val="none" w:sz="0" w:space="0" w:color="auto"/>
        <w:bottom w:val="none" w:sz="0" w:space="0" w:color="auto"/>
        <w:right w:val="none" w:sz="0" w:space="0" w:color="auto"/>
      </w:divBdr>
      <w:divsChild>
        <w:div w:id="175968361">
          <w:marLeft w:val="0"/>
          <w:marRight w:val="0"/>
          <w:marTop w:val="0"/>
          <w:marBottom w:val="0"/>
          <w:divBdr>
            <w:top w:val="none" w:sz="0" w:space="0" w:color="auto"/>
            <w:left w:val="none" w:sz="0" w:space="0" w:color="auto"/>
            <w:bottom w:val="none" w:sz="0" w:space="0" w:color="auto"/>
            <w:right w:val="none" w:sz="0" w:space="0" w:color="auto"/>
          </w:divBdr>
        </w:div>
        <w:div w:id="191849487">
          <w:marLeft w:val="0"/>
          <w:marRight w:val="0"/>
          <w:marTop w:val="0"/>
          <w:marBottom w:val="0"/>
          <w:divBdr>
            <w:top w:val="none" w:sz="0" w:space="0" w:color="auto"/>
            <w:left w:val="none" w:sz="0" w:space="0" w:color="auto"/>
            <w:bottom w:val="none" w:sz="0" w:space="0" w:color="auto"/>
            <w:right w:val="none" w:sz="0" w:space="0" w:color="auto"/>
          </w:divBdr>
        </w:div>
        <w:div w:id="1006128114">
          <w:marLeft w:val="0"/>
          <w:marRight w:val="0"/>
          <w:marTop w:val="0"/>
          <w:marBottom w:val="0"/>
          <w:divBdr>
            <w:top w:val="none" w:sz="0" w:space="0" w:color="auto"/>
            <w:left w:val="none" w:sz="0" w:space="0" w:color="auto"/>
            <w:bottom w:val="none" w:sz="0" w:space="0" w:color="auto"/>
            <w:right w:val="none" w:sz="0" w:space="0" w:color="auto"/>
          </w:divBdr>
        </w:div>
        <w:div w:id="461002795">
          <w:marLeft w:val="0"/>
          <w:marRight w:val="0"/>
          <w:marTop w:val="0"/>
          <w:marBottom w:val="0"/>
          <w:divBdr>
            <w:top w:val="none" w:sz="0" w:space="0" w:color="auto"/>
            <w:left w:val="none" w:sz="0" w:space="0" w:color="auto"/>
            <w:bottom w:val="none" w:sz="0" w:space="0" w:color="auto"/>
            <w:right w:val="none" w:sz="0" w:space="0" w:color="auto"/>
          </w:divBdr>
        </w:div>
        <w:div w:id="2062559758">
          <w:marLeft w:val="0"/>
          <w:marRight w:val="0"/>
          <w:marTop w:val="0"/>
          <w:marBottom w:val="0"/>
          <w:divBdr>
            <w:top w:val="none" w:sz="0" w:space="0" w:color="auto"/>
            <w:left w:val="none" w:sz="0" w:space="0" w:color="auto"/>
            <w:bottom w:val="none" w:sz="0" w:space="0" w:color="auto"/>
            <w:right w:val="none" w:sz="0" w:space="0" w:color="auto"/>
          </w:divBdr>
        </w:div>
        <w:div w:id="1838498563">
          <w:marLeft w:val="0"/>
          <w:marRight w:val="0"/>
          <w:marTop w:val="0"/>
          <w:marBottom w:val="0"/>
          <w:divBdr>
            <w:top w:val="none" w:sz="0" w:space="0" w:color="auto"/>
            <w:left w:val="none" w:sz="0" w:space="0" w:color="auto"/>
            <w:bottom w:val="none" w:sz="0" w:space="0" w:color="auto"/>
            <w:right w:val="none" w:sz="0" w:space="0" w:color="auto"/>
          </w:divBdr>
        </w:div>
      </w:divsChild>
    </w:div>
    <w:div w:id="1528785810">
      <w:bodyDiv w:val="1"/>
      <w:marLeft w:val="0"/>
      <w:marRight w:val="0"/>
      <w:marTop w:val="0"/>
      <w:marBottom w:val="0"/>
      <w:divBdr>
        <w:top w:val="none" w:sz="0" w:space="0" w:color="auto"/>
        <w:left w:val="none" w:sz="0" w:space="0" w:color="auto"/>
        <w:bottom w:val="none" w:sz="0" w:space="0" w:color="auto"/>
        <w:right w:val="none" w:sz="0" w:space="0" w:color="auto"/>
      </w:divBdr>
    </w:div>
    <w:div w:id="1667513563">
      <w:bodyDiv w:val="1"/>
      <w:marLeft w:val="0"/>
      <w:marRight w:val="0"/>
      <w:marTop w:val="0"/>
      <w:marBottom w:val="0"/>
      <w:divBdr>
        <w:top w:val="none" w:sz="0" w:space="0" w:color="auto"/>
        <w:left w:val="none" w:sz="0" w:space="0" w:color="auto"/>
        <w:bottom w:val="none" w:sz="0" w:space="0" w:color="auto"/>
        <w:right w:val="none" w:sz="0" w:space="0" w:color="auto"/>
      </w:divBdr>
      <w:divsChild>
        <w:div w:id="168520577">
          <w:marLeft w:val="0"/>
          <w:marRight w:val="0"/>
          <w:marTop w:val="0"/>
          <w:marBottom w:val="0"/>
          <w:divBdr>
            <w:top w:val="none" w:sz="0" w:space="0" w:color="auto"/>
            <w:left w:val="none" w:sz="0" w:space="0" w:color="auto"/>
            <w:bottom w:val="none" w:sz="0" w:space="0" w:color="auto"/>
            <w:right w:val="none" w:sz="0" w:space="0" w:color="auto"/>
          </w:divBdr>
        </w:div>
        <w:div w:id="1730575027">
          <w:marLeft w:val="0"/>
          <w:marRight w:val="0"/>
          <w:marTop w:val="0"/>
          <w:marBottom w:val="0"/>
          <w:divBdr>
            <w:top w:val="none" w:sz="0" w:space="0" w:color="auto"/>
            <w:left w:val="none" w:sz="0" w:space="0" w:color="auto"/>
            <w:bottom w:val="none" w:sz="0" w:space="0" w:color="auto"/>
            <w:right w:val="none" w:sz="0" w:space="0" w:color="auto"/>
          </w:divBdr>
        </w:div>
        <w:div w:id="1175530672">
          <w:marLeft w:val="0"/>
          <w:marRight w:val="0"/>
          <w:marTop w:val="0"/>
          <w:marBottom w:val="0"/>
          <w:divBdr>
            <w:top w:val="none" w:sz="0" w:space="0" w:color="auto"/>
            <w:left w:val="none" w:sz="0" w:space="0" w:color="auto"/>
            <w:bottom w:val="none" w:sz="0" w:space="0" w:color="auto"/>
            <w:right w:val="none" w:sz="0" w:space="0" w:color="auto"/>
          </w:divBdr>
        </w:div>
        <w:div w:id="1823816150">
          <w:marLeft w:val="0"/>
          <w:marRight w:val="0"/>
          <w:marTop w:val="0"/>
          <w:marBottom w:val="0"/>
          <w:divBdr>
            <w:top w:val="none" w:sz="0" w:space="0" w:color="auto"/>
            <w:left w:val="none" w:sz="0" w:space="0" w:color="auto"/>
            <w:bottom w:val="none" w:sz="0" w:space="0" w:color="auto"/>
            <w:right w:val="none" w:sz="0" w:space="0" w:color="auto"/>
          </w:divBdr>
        </w:div>
      </w:divsChild>
    </w:div>
    <w:div w:id="1815567068">
      <w:bodyDiv w:val="1"/>
      <w:marLeft w:val="0"/>
      <w:marRight w:val="0"/>
      <w:marTop w:val="0"/>
      <w:marBottom w:val="0"/>
      <w:divBdr>
        <w:top w:val="none" w:sz="0" w:space="0" w:color="auto"/>
        <w:left w:val="none" w:sz="0" w:space="0" w:color="auto"/>
        <w:bottom w:val="none" w:sz="0" w:space="0" w:color="auto"/>
        <w:right w:val="none" w:sz="0" w:space="0" w:color="auto"/>
      </w:divBdr>
    </w:div>
    <w:div w:id="1820883085">
      <w:bodyDiv w:val="1"/>
      <w:marLeft w:val="0"/>
      <w:marRight w:val="0"/>
      <w:marTop w:val="0"/>
      <w:marBottom w:val="0"/>
      <w:divBdr>
        <w:top w:val="none" w:sz="0" w:space="0" w:color="auto"/>
        <w:left w:val="none" w:sz="0" w:space="0" w:color="auto"/>
        <w:bottom w:val="none" w:sz="0" w:space="0" w:color="auto"/>
        <w:right w:val="none" w:sz="0" w:space="0" w:color="auto"/>
      </w:divBdr>
      <w:divsChild>
        <w:div w:id="59063156">
          <w:marLeft w:val="0"/>
          <w:marRight w:val="0"/>
          <w:marTop w:val="0"/>
          <w:marBottom w:val="0"/>
          <w:divBdr>
            <w:top w:val="none" w:sz="0" w:space="0" w:color="auto"/>
            <w:left w:val="none" w:sz="0" w:space="0" w:color="auto"/>
            <w:bottom w:val="none" w:sz="0" w:space="0" w:color="auto"/>
            <w:right w:val="none" w:sz="0" w:space="0" w:color="auto"/>
          </w:divBdr>
        </w:div>
        <w:div w:id="1915970697">
          <w:marLeft w:val="0"/>
          <w:marRight w:val="0"/>
          <w:marTop w:val="0"/>
          <w:marBottom w:val="0"/>
          <w:divBdr>
            <w:top w:val="none" w:sz="0" w:space="0" w:color="auto"/>
            <w:left w:val="none" w:sz="0" w:space="0" w:color="auto"/>
            <w:bottom w:val="none" w:sz="0" w:space="0" w:color="auto"/>
            <w:right w:val="none" w:sz="0" w:space="0" w:color="auto"/>
          </w:divBdr>
        </w:div>
        <w:div w:id="1972594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9" Type="http://schemas.openxmlformats.org/officeDocument/2006/relationships/hyperlink" Target="http://www.refworld.org/docid/47ac78ce2.html" TargetMode="External"/><Relationship Id="rId20" Type="http://schemas.openxmlformats.org/officeDocument/2006/relationships/hyperlink" Target="http://www.driadvocacy.org/media-gallery/" TargetMode="External"/><Relationship Id="rId21" Type="http://schemas.openxmlformats.org/officeDocument/2006/relationships/hyperlink" Target="http://www.driadvocacy.org/wp-content/uploads/turkey-final-9-26-05.pdf" TargetMode="External"/><Relationship Id="rId22" Type="http://schemas.openxmlformats.org/officeDocument/2006/relationships/hyperlink" Target="http://www.driadvocacy.org/wp-content/uploads/Serbia-rep-english.pdf" TargetMode="External"/><Relationship Id="rId23" Type="http://schemas.openxmlformats.org/officeDocument/2006/relationships/hyperlink" Target="http://www.driadvocacy.org/media-gallery/" TargetMode="External"/><Relationship Id="rId24" Type="http://schemas.openxmlformats.org/officeDocument/2006/relationships/hyperlink" Target="https://firstfocus.org/wp-content/uploads/2014/06/Childrens-Policy-History.pdf" TargetMode="External"/><Relationship Id="rId10" Type="http://schemas.openxmlformats.org/officeDocument/2006/relationships/hyperlink" Target="https://bothendsburning.org/stuck-documentary-explores-internatioanl-adoption-photos" TargetMode="External"/><Relationship Id="rId11" Type="http://schemas.openxmlformats.org/officeDocument/2006/relationships/hyperlink" Target="http://www.nytimes.com/2016/03/22/magazine/the-voluntourists-dilemma.html" TargetMode="External"/><Relationship Id="rId12" Type="http://schemas.openxmlformats.org/officeDocument/2006/relationships/hyperlink" Target="http://www.DRIadvocacy.org" TargetMode="External"/><Relationship Id="rId13" Type="http://schemas.openxmlformats.org/officeDocument/2006/relationships/hyperlink" Target="http://news.bbc.co.uk/2/hi/health/2579865.stm" TargetMode="External"/><Relationship Id="rId14" Type="http://schemas.openxmlformats.org/officeDocument/2006/relationships/hyperlink" Target="https://aspe.hhs.gov/pdf-report/pennhurst-longitudinal-study-combined-report-five-years-research-and-analysis" TargetMode="External"/><Relationship Id="rId15" Type="http://schemas.openxmlformats.org/officeDocument/2006/relationships/hyperlink" Target="http://tbinternet.ohchr.org/_layouts/treatybodyexternal/Download.aspx?symbolno=CRPD%2fC%2fCZE%2fCO%2f1&amp;Lang=en" TargetMode="External"/><Relationship Id="rId16" Type="http://schemas.openxmlformats.org/officeDocument/2006/relationships/hyperlink" Target="http://tbinternet.ohchr.org/_layouts/treatybodyexternal/TBSearch.aspx?TreatyID=4&amp;DocTypeID=5" TargetMode="External"/><Relationship Id="rId17" Type="http://schemas.openxmlformats.org/officeDocument/2006/relationships/hyperlink" Target="mailto:erosenthal@DRIadvocacy.org" TargetMode="External"/><Relationship Id="rId18" Type="http://schemas.openxmlformats.org/officeDocument/2006/relationships/hyperlink" Target="https://aspe.hhs.gov/pdf-report/pennhurst-longitudinal-study-combined-report-five-years-research-and-analysis" TargetMode="External"/><Relationship Id="rId19" Type="http://schemas.openxmlformats.org/officeDocument/2006/relationships/hyperlink" Target="http://www.driadvocacy.org/wp-content/uploads/Left-Behind-final-report.pdf" TargetMode="External"/><Relationship Id="rId1" Type="http://schemas.openxmlformats.org/officeDocument/2006/relationships/hyperlink" Target="mailto:erosenthal@DRIadvocacy.org" TargetMode="External"/><Relationship Id="rId2" Type="http://schemas.openxmlformats.org/officeDocument/2006/relationships/hyperlink" Target="http://www.ohchr.org/EN/Issues/Torture/SRTorture/Pages/SRTortureIndex.aspx" TargetMode="External"/><Relationship Id="rId3" Type="http://schemas.openxmlformats.org/officeDocument/2006/relationships/hyperlink" Target="https://www.washingtonpost.com/opinions/orphanages-are-no-place-for-children/2013/08/09/6d502fb0-fadd-11e2-a369-d1954abcb7e3_story.html?tid=a_inl&amp;utm_term=.36be4696d04f" TargetMode="External"/><Relationship Id="rId4" Type="http://schemas.openxmlformats.org/officeDocument/2006/relationships/hyperlink" Target="http://www.huffingtonpost.com/laurie-ahern/donors-need-to-support-vulnerable-families_b_7422618.html" TargetMode="External"/><Relationship Id="rId5" Type="http://schemas.openxmlformats.org/officeDocument/2006/relationships/hyperlink" Target="http://www.huffingtonpost.com/laurie-ahern/ukraine-orphanages-feeder_b_7344882.html" TargetMode="External"/><Relationship Id="rId6" Type="http://schemas.openxmlformats.org/officeDocument/2006/relationships/hyperlink" Target="http://www.government.se/contentassets/42b806a7f8b046468116e4f1245428b5/children-in-institutions" TargetMode="External"/><Relationship Id="rId7" Type="http://schemas.openxmlformats.org/officeDocument/2006/relationships/hyperlink" Target="https://www.hrw.org/report/2008/12/22/left-survive/systematic-failure-protect-unaccompanied-migrant-children-greece" TargetMode="External"/><Relationship Id="rId8" Type="http://schemas.openxmlformats.org/officeDocument/2006/relationships/hyperlink" Target="http://www.unicef.org/protection/Administrative_detention_discussion_paper_April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31E0D-E2EB-AE48-8121-4842C3F3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20465</Words>
  <Characters>116651</Characters>
  <Application>Microsoft Macintosh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Non-Profit</Company>
  <LinksUpToDate>false</LinksUpToDate>
  <CharactersWithSpaces>136843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Eric  Rosenthal</cp:lastModifiedBy>
  <cp:revision>2</cp:revision>
  <cp:lastPrinted>2017-01-09T17:18:00Z</cp:lastPrinted>
  <dcterms:created xsi:type="dcterms:W3CDTF">2017-02-23T12:45:00Z</dcterms:created>
  <dcterms:modified xsi:type="dcterms:W3CDTF">2017-02-23T12:45:00Z</dcterms:modified>
</cp:coreProperties>
</file>